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15" w:rsidRDefault="00B83815" w:rsidP="00B83815">
      <w:pPr>
        <w:pStyle w:val="Prrafodelista"/>
        <w:spacing w:line="360" w:lineRule="auto"/>
        <w:ind w:left="426"/>
        <w:jc w:val="center"/>
        <w:rPr>
          <w:rFonts w:ascii="Arial Narrow" w:hAnsi="Arial Narrow"/>
          <w:sz w:val="96"/>
          <w:szCs w:val="96"/>
        </w:rPr>
      </w:pPr>
    </w:p>
    <w:p w:rsidR="00B83815" w:rsidRDefault="00B83815" w:rsidP="00B83815">
      <w:pPr>
        <w:pStyle w:val="Prrafodelista"/>
        <w:spacing w:line="360" w:lineRule="auto"/>
        <w:ind w:left="426"/>
        <w:jc w:val="center"/>
        <w:rPr>
          <w:rFonts w:ascii="Arial Narrow" w:hAnsi="Arial Narrow"/>
          <w:sz w:val="96"/>
          <w:szCs w:val="96"/>
        </w:rPr>
      </w:pPr>
    </w:p>
    <w:p w:rsidR="00B83815" w:rsidRPr="00992D26" w:rsidRDefault="00B83815" w:rsidP="00B83815">
      <w:pPr>
        <w:pStyle w:val="Prrafodelista"/>
        <w:spacing w:line="360" w:lineRule="auto"/>
        <w:ind w:left="426"/>
        <w:jc w:val="center"/>
        <w:rPr>
          <w:rFonts w:ascii="Arial Narrow" w:hAnsi="Arial Narrow"/>
          <w:sz w:val="72"/>
          <w:szCs w:val="72"/>
        </w:rPr>
      </w:pPr>
      <w:r w:rsidRPr="00992D26">
        <w:rPr>
          <w:rFonts w:ascii="Arial Narrow" w:hAnsi="Arial Narrow"/>
          <w:sz w:val="72"/>
          <w:szCs w:val="72"/>
        </w:rPr>
        <w:t>ANÁLISIS CUALITATIVO DE LOS INDIC</w:t>
      </w:r>
      <w:bookmarkStart w:id="0" w:name="_GoBack"/>
      <w:bookmarkEnd w:id="0"/>
      <w:r w:rsidRPr="00992D26">
        <w:rPr>
          <w:rFonts w:ascii="Arial Narrow" w:hAnsi="Arial Narrow"/>
          <w:sz w:val="72"/>
          <w:szCs w:val="72"/>
        </w:rPr>
        <w:t>ADORES DE LA POSTURA FISCAL</w:t>
      </w: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firstLine="0"/>
        <w:jc w:val="left"/>
        <w:rPr>
          <w:rFonts w:ascii="Arial Narrow" w:hAnsi="Arial Narrow"/>
          <w:b/>
          <w:bCs/>
          <w:sz w:val="32"/>
        </w:rPr>
      </w:pP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lastRenderedPageBreak/>
        <w:t>2.- ANÁLISIS CUALITATIVO DE LOS INDICADORES DE LA POSTURA FISCAL</w:t>
      </w:r>
    </w:p>
    <w:p w:rsidR="00B83815" w:rsidRPr="00992D26" w:rsidRDefault="00B83815" w:rsidP="00B83815">
      <w:pPr>
        <w:pStyle w:val="Sangradetextonormal"/>
        <w:spacing w:line="240" w:lineRule="auto"/>
        <w:ind w:firstLine="0"/>
        <w:jc w:val="left"/>
        <w:rPr>
          <w:rFonts w:ascii="Arial Narrow" w:hAnsi="Arial Narrow"/>
          <w:b/>
          <w:bCs/>
          <w:szCs w:val="28"/>
        </w:rPr>
      </w:pP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t>2.1.- PANORAMA ECONÓMICO Y POSTURA FISCAL</w: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t>En esta sección se presenta un análisis del comportamiento de las finanzas públicas federales y locales, que refleja en forma sucinta y clara la situación general de la econom</w:t>
      </w:r>
      <w:r w:rsidR="002B4EA2">
        <w:rPr>
          <w:rFonts w:ascii="Arial Narrow" w:hAnsi="Arial Narrow"/>
          <w:sz w:val="22"/>
          <w:szCs w:val="22"/>
        </w:rPr>
        <w:t>ía durante el ejercicio 20</w:t>
      </w:r>
      <w:r w:rsidR="00625E20">
        <w:rPr>
          <w:rFonts w:ascii="Arial Narrow" w:hAnsi="Arial Narrow"/>
          <w:sz w:val="22"/>
          <w:szCs w:val="22"/>
        </w:rPr>
        <w:t>21</w:t>
      </w:r>
      <w:r w:rsidRPr="00992D26">
        <w:rPr>
          <w:rFonts w:ascii="Arial Narrow" w:hAnsi="Arial Narrow"/>
          <w:sz w:val="22"/>
          <w:szCs w:val="22"/>
        </w:rPr>
        <w:t>, tant</w:t>
      </w:r>
      <w:r w:rsidR="00C15FE2">
        <w:rPr>
          <w:rFonts w:ascii="Arial Narrow" w:hAnsi="Arial Narrow"/>
          <w:sz w:val="22"/>
          <w:szCs w:val="22"/>
        </w:rPr>
        <w:t xml:space="preserve">o a nivel nacional como estatal, que en este año de manera inesperada y en forma extraordinaria experimentaron un entorno complejo en virtud de los </w:t>
      </w:r>
      <w:r w:rsidR="00C15FE2" w:rsidRPr="00C15FE2">
        <w:rPr>
          <w:rFonts w:ascii="Arial Narrow" w:hAnsi="Arial Narrow"/>
          <w:sz w:val="22"/>
          <w:szCs w:val="22"/>
        </w:rPr>
        <w:t>efectos económicos acontecidos por la contingencia sanitaria derivada de la pandemia originada por el virus SARS-CoV2 que genera la enfermedad COVID – 19.</w:t>
      </w:r>
    </w:p>
    <w:p w:rsidR="00B83815" w:rsidRPr="00992D26" w:rsidRDefault="00B83815" w:rsidP="00B83815">
      <w:pPr>
        <w:pStyle w:val="Sangradetextonormal"/>
        <w:rPr>
          <w:rFonts w:ascii="Arial Narrow" w:hAnsi="Arial Narrow"/>
          <w:sz w:val="22"/>
          <w:szCs w:val="22"/>
        </w:rPr>
      </w:pP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t>Al respecto, se enlistan los objetivos, estrategias y metas de la política económica, continuando con una descripción de la evolución de las principales variables económicas: el producto interno bruto nacional, estatal y por sectores, empleo, inflación, tasas de interés, importaciones y exportaciones, entre otras.</w:t>
      </w:r>
    </w:p>
    <w:p w:rsidR="00B83815" w:rsidRPr="00992D26" w:rsidRDefault="00B83815" w:rsidP="00B83815">
      <w:pPr>
        <w:pStyle w:val="Sangradetextonormal"/>
        <w:rPr>
          <w:rFonts w:ascii="Arial Narrow" w:hAnsi="Arial Narrow"/>
          <w:sz w:val="22"/>
          <w:szCs w:val="22"/>
        </w:rPr>
      </w:pP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t>Así mismo, se señalan los objetivos, estrategias y metas de la política fiscal, así como las líneas de acción para el ejercicio que nos ocupa, reportando finalmente los resultados generales de las finanzas públicas federales y locales.</w: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t>2.1.1.- Ámbito Federal</w:t>
      </w:r>
    </w:p>
    <w:p w:rsidR="00B83815" w:rsidRPr="00E94BB1" w:rsidRDefault="00B83815" w:rsidP="00B83815">
      <w:pPr>
        <w:pStyle w:val="Sangradetextonormal"/>
        <w:ind w:firstLine="0"/>
        <w:jc w:val="left"/>
        <w:rPr>
          <w:rFonts w:ascii="Arial Narrow" w:hAnsi="Arial Narrow"/>
          <w:b/>
          <w:bCs/>
          <w:sz w:val="20"/>
          <w:szCs w:val="32"/>
        </w:rPr>
      </w:pPr>
    </w:p>
    <w:p w:rsidR="00040D08" w:rsidRPr="00040D08" w:rsidRDefault="00B83815" w:rsidP="00040D08">
      <w:pPr>
        <w:pStyle w:val="Sangradetextonormal"/>
        <w:rPr>
          <w:rFonts w:ascii="Arial Narrow" w:hAnsi="Arial Narrow"/>
          <w:sz w:val="22"/>
          <w:szCs w:val="22"/>
        </w:rPr>
      </w:pPr>
      <w:r w:rsidRPr="00992D26">
        <w:rPr>
          <w:rFonts w:ascii="Arial Narrow" w:hAnsi="Arial Narrow"/>
          <w:sz w:val="22"/>
          <w:szCs w:val="22"/>
        </w:rPr>
        <w:t>Los Criterios Generales</w:t>
      </w:r>
      <w:r w:rsidR="002B4EA2">
        <w:rPr>
          <w:rFonts w:ascii="Arial Narrow" w:hAnsi="Arial Narrow"/>
          <w:sz w:val="22"/>
          <w:szCs w:val="22"/>
        </w:rPr>
        <w:t xml:space="preserve"> de Política Económica para 20</w:t>
      </w:r>
      <w:r w:rsidR="00625E20">
        <w:rPr>
          <w:rFonts w:ascii="Arial Narrow" w:hAnsi="Arial Narrow"/>
          <w:sz w:val="22"/>
          <w:szCs w:val="22"/>
        </w:rPr>
        <w:t>21</w:t>
      </w:r>
      <w:r w:rsidRPr="00992D26">
        <w:rPr>
          <w:rFonts w:ascii="Arial Narrow" w:hAnsi="Arial Narrow"/>
          <w:sz w:val="22"/>
          <w:szCs w:val="22"/>
        </w:rPr>
        <w:t xml:space="preserve"> fueron emitidos por el Gobierno Federal </w:t>
      </w:r>
      <w:r w:rsidR="00040D08">
        <w:rPr>
          <w:rFonts w:ascii="Arial Narrow" w:hAnsi="Arial Narrow"/>
          <w:sz w:val="22"/>
          <w:szCs w:val="22"/>
        </w:rPr>
        <w:t xml:space="preserve">considerando que </w:t>
      </w:r>
      <w:r w:rsidR="00040D08" w:rsidRPr="00040D08">
        <w:rPr>
          <w:rFonts w:ascii="Arial Narrow" w:hAnsi="Arial Narrow"/>
          <w:sz w:val="22"/>
          <w:szCs w:val="22"/>
        </w:rPr>
        <w:t>el Paquete Económico se elaboró en un marco de honestidad, austeridad y eficiencia en el ejercicio de los recursos públicos que ha caracterizado al Gobierno de México, haciendo énfasis en que dichos criterios son muy diferentes a los de años anteriores y se distinguen por una reflexión más profunda sobre los aspectos económicos y sociales, así como en materia de salud, economía y finanzas públicas del país.</w:t>
      </w:r>
    </w:p>
    <w:p w:rsidR="00040D08" w:rsidRPr="00040D08" w:rsidRDefault="00040D08" w:rsidP="00040D08">
      <w:pPr>
        <w:pStyle w:val="Sangradetextonormal"/>
        <w:rPr>
          <w:rFonts w:ascii="Arial Narrow" w:hAnsi="Arial Narrow"/>
          <w:sz w:val="22"/>
          <w:szCs w:val="22"/>
        </w:rPr>
      </w:pPr>
    </w:p>
    <w:p w:rsidR="00040D08" w:rsidRDefault="007D1BBC" w:rsidP="00040D08">
      <w:pPr>
        <w:pStyle w:val="Sangradetextonormal"/>
        <w:rPr>
          <w:rFonts w:ascii="Arial Narrow" w:hAnsi="Arial Narrow"/>
          <w:sz w:val="22"/>
          <w:szCs w:val="22"/>
        </w:rPr>
      </w:pPr>
      <w:r>
        <w:rPr>
          <w:rFonts w:ascii="Arial Narrow" w:hAnsi="Arial Narrow"/>
          <w:sz w:val="22"/>
          <w:szCs w:val="22"/>
        </w:rPr>
        <w:t xml:space="preserve">La enfermedad </w:t>
      </w:r>
      <w:r w:rsidRPr="007D1BBC">
        <w:rPr>
          <w:rFonts w:ascii="Arial Narrow" w:hAnsi="Arial Narrow"/>
          <w:sz w:val="22"/>
          <w:szCs w:val="22"/>
        </w:rPr>
        <w:t xml:space="preserve">COVID-19 está representando costos significativos para la economía mexicana, la cual enfrenta actualmente el reto más complejo desde la Gran Depresión en materia de protección del bienestar </w:t>
      </w:r>
      <w:r w:rsidRPr="007D1BBC">
        <w:rPr>
          <w:rFonts w:ascii="Arial Narrow" w:hAnsi="Arial Narrow"/>
          <w:sz w:val="22"/>
          <w:szCs w:val="22"/>
        </w:rPr>
        <w:lastRenderedPageBreak/>
        <w:t>social e impulso a la actividad económica agregada. El despliegue de acciones para la atención de la pandemia, que ha tenido como eje un confinamiento autoinducido, ha generado una situación extraordinaria para la población y ha provocado una de las más severas contracciones económicas de las que se tenga registro en los últimos cien años.</w:t>
      </w:r>
    </w:p>
    <w:p w:rsidR="007D1BBC" w:rsidRPr="00040D08" w:rsidRDefault="007D1BBC" w:rsidP="00040D08">
      <w:pPr>
        <w:pStyle w:val="Sangradetextonormal"/>
        <w:rPr>
          <w:rFonts w:ascii="Arial Narrow" w:hAnsi="Arial Narrow"/>
          <w:sz w:val="22"/>
          <w:szCs w:val="22"/>
        </w:rPr>
      </w:pPr>
    </w:p>
    <w:p w:rsidR="00E55E7D" w:rsidRDefault="00040D08" w:rsidP="00040D08">
      <w:pPr>
        <w:pStyle w:val="Sangradetextonormal"/>
        <w:rPr>
          <w:rFonts w:ascii="Arial Narrow" w:hAnsi="Arial Narrow"/>
          <w:sz w:val="22"/>
          <w:szCs w:val="22"/>
        </w:rPr>
      </w:pPr>
      <w:r w:rsidRPr="00040D08">
        <w:rPr>
          <w:rFonts w:ascii="Arial Narrow" w:hAnsi="Arial Narrow"/>
          <w:sz w:val="22"/>
          <w:szCs w:val="22"/>
        </w:rPr>
        <w:t>Al respecto, la aparición del COVID-19 provocó las restricciones a la movilidad y promovió la realización de actividades que se pusieron en operación para proteger a la población, conocidas ahora como el Gran Confinamiento, generaron la primera contracción económica global por diseño de la historia. Los esfuerzos por preservar vidas y asegurar la atención médica de los enfermos, en un entorno de poca información respecto al nuevo coronavirus y a sus efectos sobre la salud de la población y la economía, elevaron velozmente la incertidumbre en los primeros meses del año 2020 y tuvieron impactos profundos sobre la economía, los mercados financieros y los de materias primas globales casi de inmediato.</w:t>
      </w:r>
    </w:p>
    <w:p w:rsidR="00040D08" w:rsidRPr="00E94BB1" w:rsidRDefault="00040D08" w:rsidP="00040D08">
      <w:pPr>
        <w:pStyle w:val="Sangradetextonormal"/>
        <w:rPr>
          <w:rFonts w:ascii="Arial Narrow" w:hAnsi="Arial Narrow"/>
          <w:sz w:val="18"/>
          <w:szCs w:val="22"/>
        </w:rPr>
      </w:pP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t>2.1.1.1- Política Económica</w:t>
      </w:r>
    </w:p>
    <w:p w:rsidR="00B83815" w:rsidRPr="00992D26" w:rsidRDefault="00B83815" w:rsidP="00B83815">
      <w:pPr>
        <w:pStyle w:val="Sangradetextonormal"/>
        <w:spacing w:line="240" w:lineRule="exact"/>
        <w:ind w:firstLine="0"/>
        <w:jc w:val="left"/>
        <w:rPr>
          <w:rFonts w:ascii="Arial Narrow" w:hAnsi="Arial Narrow"/>
          <w:b/>
          <w:bCs/>
          <w:szCs w:val="28"/>
        </w:rPr>
      </w:pPr>
    </w:p>
    <w:p w:rsidR="00B83815" w:rsidRPr="00992D26" w:rsidRDefault="00B83815" w:rsidP="00B83815">
      <w:pPr>
        <w:pStyle w:val="Sangradetextonormal"/>
        <w:numPr>
          <w:ilvl w:val="0"/>
          <w:numId w:val="6"/>
        </w:numPr>
        <w:tabs>
          <w:tab w:val="clear" w:pos="1068"/>
          <w:tab w:val="num" w:pos="720"/>
        </w:tabs>
        <w:ind w:hanging="708"/>
        <w:jc w:val="left"/>
        <w:rPr>
          <w:rFonts w:ascii="Arial Narrow" w:hAnsi="Arial Narrow"/>
          <w:b/>
          <w:bCs/>
          <w:szCs w:val="28"/>
        </w:rPr>
      </w:pPr>
      <w:r w:rsidRPr="00992D26">
        <w:rPr>
          <w:rFonts w:ascii="Arial Narrow" w:hAnsi="Arial Narrow"/>
          <w:b/>
          <w:bCs/>
          <w:szCs w:val="28"/>
        </w:rPr>
        <w:t>Objetivos</w:t>
      </w: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040D08" w:rsidRDefault="007A1347" w:rsidP="003F2E9F">
      <w:pPr>
        <w:pStyle w:val="Sangradetextonormal"/>
        <w:rPr>
          <w:rFonts w:ascii="Arial Narrow" w:hAnsi="Arial Narrow"/>
          <w:sz w:val="22"/>
          <w:szCs w:val="22"/>
        </w:rPr>
      </w:pPr>
      <w:r>
        <w:rPr>
          <w:rFonts w:ascii="Arial Narrow" w:hAnsi="Arial Narrow"/>
          <w:sz w:val="22"/>
          <w:szCs w:val="22"/>
        </w:rPr>
        <w:t>En los Criterios Generales</w:t>
      </w:r>
      <w:r w:rsidR="003F2E9F">
        <w:rPr>
          <w:rFonts w:ascii="Arial Narrow" w:hAnsi="Arial Narrow"/>
          <w:sz w:val="22"/>
          <w:szCs w:val="22"/>
        </w:rPr>
        <w:t xml:space="preserve"> de Política Económica para </w:t>
      </w:r>
      <w:r w:rsidR="00040D08">
        <w:rPr>
          <w:rFonts w:ascii="Arial Narrow" w:hAnsi="Arial Narrow"/>
          <w:sz w:val="22"/>
          <w:szCs w:val="22"/>
        </w:rPr>
        <w:t>2021</w:t>
      </w:r>
      <w:r w:rsidR="00D84E15">
        <w:rPr>
          <w:rFonts w:ascii="Arial Narrow" w:hAnsi="Arial Narrow"/>
          <w:sz w:val="22"/>
          <w:szCs w:val="22"/>
        </w:rPr>
        <w:t xml:space="preserve"> se enfatizó </w:t>
      </w:r>
      <w:r w:rsidR="00040D08">
        <w:rPr>
          <w:rFonts w:ascii="Arial Narrow" w:hAnsi="Arial Narrow"/>
          <w:sz w:val="22"/>
          <w:szCs w:val="22"/>
        </w:rPr>
        <w:t>que a</w:t>
      </w:r>
      <w:r w:rsidR="00040D08" w:rsidRPr="00040D08">
        <w:rPr>
          <w:rFonts w:ascii="Arial Narrow" w:hAnsi="Arial Narrow"/>
          <w:sz w:val="22"/>
          <w:szCs w:val="22"/>
        </w:rPr>
        <w:t>l tiempo que los sistemas de salud de los países hacían frente a un virus y una enfermedad nuevos, sin vacuna ni cura y con mecanismos de transmisión, tasas de contagio y de mortalidad desconocidos, el cierre de fronteras y de los sectores industriales de las principales economías –las primeras afectadas por el COVID-19– impactaba inmediata y particularmente a los sectores de transporte y de turismo de todos los países, así como a la producción de aquellos altamente integrados a las cadenas globales de suministro, como el nuestro, incluso antes de que ejecutaran sus p</w:t>
      </w:r>
      <w:r w:rsidR="00040D08">
        <w:rPr>
          <w:rFonts w:ascii="Arial Narrow" w:hAnsi="Arial Narrow"/>
          <w:sz w:val="22"/>
          <w:szCs w:val="22"/>
        </w:rPr>
        <w:t>ropias medidas de confinamiento,</w:t>
      </w:r>
      <w:r w:rsidR="00040D08" w:rsidRPr="00040D08">
        <w:rPr>
          <w:rFonts w:ascii="Arial Narrow" w:hAnsi="Arial Narrow"/>
          <w:sz w:val="22"/>
          <w:szCs w:val="22"/>
        </w:rPr>
        <w:t xml:space="preserve"> las políticas públicas</w:t>
      </w:r>
      <w:r w:rsidR="00040D08">
        <w:rPr>
          <w:rFonts w:ascii="Arial Narrow" w:hAnsi="Arial Narrow"/>
          <w:sz w:val="22"/>
          <w:szCs w:val="22"/>
        </w:rPr>
        <w:t xml:space="preserve"> en México</w:t>
      </w:r>
      <w:r w:rsidR="00040D08" w:rsidRPr="00040D08">
        <w:rPr>
          <w:rFonts w:ascii="Arial Narrow" w:hAnsi="Arial Narrow"/>
          <w:sz w:val="22"/>
          <w:szCs w:val="22"/>
        </w:rPr>
        <w:t xml:space="preserve"> han priorizado en todo momento la salud </w:t>
      </w:r>
      <w:r w:rsidR="00040D08">
        <w:rPr>
          <w:rFonts w:ascii="Arial Narrow" w:hAnsi="Arial Narrow"/>
          <w:sz w:val="22"/>
          <w:szCs w:val="22"/>
        </w:rPr>
        <w:t>y el bienestar de la población.</w:t>
      </w:r>
    </w:p>
    <w:p w:rsidR="00040D08" w:rsidRDefault="00040D08" w:rsidP="003F2E9F">
      <w:pPr>
        <w:pStyle w:val="Sangradetextonormal"/>
        <w:rPr>
          <w:rFonts w:ascii="Arial Narrow" w:hAnsi="Arial Narrow"/>
          <w:sz w:val="22"/>
          <w:szCs w:val="22"/>
        </w:rPr>
      </w:pPr>
    </w:p>
    <w:p w:rsidR="00B83815" w:rsidRDefault="00040D08" w:rsidP="003F2E9F">
      <w:pPr>
        <w:pStyle w:val="Sangradetextonormal"/>
        <w:rPr>
          <w:rFonts w:ascii="Arial Narrow" w:hAnsi="Arial Narrow"/>
          <w:sz w:val="22"/>
          <w:szCs w:val="22"/>
        </w:rPr>
      </w:pPr>
      <w:r>
        <w:rPr>
          <w:rFonts w:ascii="Arial Narrow" w:hAnsi="Arial Narrow"/>
          <w:sz w:val="22"/>
          <w:szCs w:val="22"/>
        </w:rPr>
        <w:t xml:space="preserve">Dicha priorización se realiza </w:t>
      </w:r>
      <w:r w:rsidRPr="00040D08">
        <w:rPr>
          <w:rFonts w:ascii="Arial Narrow" w:hAnsi="Arial Narrow"/>
          <w:sz w:val="22"/>
          <w:szCs w:val="22"/>
        </w:rPr>
        <w:t xml:space="preserve">particularmente </w:t>
      </w:r>
      <w:r>
        <w:rPr>
          <w:rFonts w:ascii="Arial Narrow" w:hAnsi="Arial Narrow"/>
          <w:sz w:val="22"/>
          <w:szCs w:val="22"/>
        </w:rPr>
        <w:t>hacia</w:t>
      </w:r>
      <w:r w:rsidRPr="00040D08">
        <w:rPr>
          <w:rFonts w:ascii="Arial Narrow" w:hAnsi="Arial Narrow"/>
          <w:sz w:val="22"/>
          <w:szCs w:val="22"/>
        </w:rPr>
        <w:t xml:space="preserve"> los grupos más vulnerables y con menos alternativas y protección formal en situaciones de estrés financiero y económico, por lo que el Gobierno de México ha implementado una serie de acciones que han evolucionado con la trayectoria de la enfermedad que </w:t>
      </w:r>
      <w:r w:rsidRPr="00040D08">
        <w:rPr>
          <w:rFonts w:ascii="Arial Narrow" w:hAnsi="Arial Narrow"/>
          <w:sz w:val="22"/>
          <w:szCs w:val="22"/>
        </w:rPr>
        <w:lastRenderedPageBreak/>
        <w:t>están permitiendo enfrentar la contingencia sanitaria y económica, equilibrando lo anterior con objetivos de mediano y largo plazo, manteniendo finanzas públicas sanas y estabilidad macroeconómica durante la mayor contracción económica global en nueve décadas.</w:t>
      </w:r>
    </w:p>
    <w:p w:rsidR="00040D08" w:rsidRPr="00177134" w:rsidRDefault="00040D08" w:rsidP="003F2E9F">
      <w:pPr>
        <w:pStyle w:val="Sangradetextonormal"/>
        <w:rPr>
          <w:rFonts w:ascii="Arial Narrow" w:hAnsi="Arial Narrow"/>
          <w:sz w:val="12"/>
          <w:szCs w:val="22"/>
        </w:rPr>
      </w:pPr>
    </w:p>
    <w:p w:rsidR="00B83815" w:rsidRPr="00992D26" w:rsidRDefault="00B83815" w:rsidP="00B83815">
      <w:pPr>
        <w:pStyle w:val="Sangradetextonormal"/>
        <w:numPr>
          <w:ilvl w:val="0"/>
          <w:numId w:val="6"/>
        </w:numPr>
        <w:tabs>
          <w:tab w:val="clear" w:pos="1068"/>
          <w:tab w:val="num" w:pos="720"/>
        </w:tabs>
        <w:ind w:hanging="708"/>
        <w:jc w:val="left"/>
        <w:rPr>
          <w:rFonts w:ascii="Arial Narrow" w:hAnsi="Arial Narrow"/>
          <w:b/>
          <w:bCs/>
          <w:szCs w:val="28"/>
        </w:rPr>
      </w:pPr>
      <w:r w:rsidRPr="00992D26">
        <w:rPr>
          <w:rFonts w:ascii="Arial Narrow" w:hAnsi="Arial Narrow"/>
          <w:b/>
          <w:bCs/>
          <w:szCs w:val="28"/>
        </w:rPr>
        <w:t>Estrategias</w:t>
      </w: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040D08" w:rsidRDefault="003764A5" w:rsidP="00040D08">
      <w:pPr>
        <w:pStyle w:val="Sangradetextonormal"/>
        <w:rPr>
          <w:rFonts w:ascii="Arial Narrow" w:hAnsi="Arial Narrow"/>
          <w:sz w:val="22"/>
          <w:szCs w:val="22"/>
        </w:rPr>
      </w:pPr>
      <w:r>
        <w:rPr>
          <w:rFonts w:ascii="Arial Narrow" w:hAnsi="Arial Narrow"/>
          <w:sz w:val="22"/>
          <w:szCs w:val="22"/>
        </w:rPr>
        <w:t>En línea con lo mencionado en</w:t>
      </w:r>
      <w:r w:rsidR="003F2E9F">
        <w:rPr>
          <w:rFonts w:ascii="Arial Narrow" w:hAnsi="Arial Narrow"/>
          <w:sz w:val="22"/>
          <w:szCs w:val="22"/>
        </w:rPr>
        <w:t xml:space="preserve"> el apartado anterior, </w:t>
      </w:r>
      <w:r w:rsidR="00040D08" w:rsidRPr="00040D08">
        <w:rPr>
          <w:rFonts w:ascii="Arial Narrow" w:hAnsi="Arial Narrow"/>
          <w:sz w:val="22"/>
          <w:szCs w:val="22"/>
        </w:rPr>
        <w:t>la Secretaría de Hacienda y Crédito Público afirma que el Paquete Económico 2021 renueva el compromiso con los cuatro pilares de la política hacendaria del Gobierno de México:</w:t>
      </w:r>
    </w:p>
    <w:p w:rsidR="00040D08" w:rsidRPr="00177134" w:rsidRDefault="00040D08" w:rsidP="00040D08">
      <w:pPr>
        <w:pStyle w:val="Sangradetextonormal"/>
        <w:rPr>
          <w:rFonts w:ascii="Arial Narrow" w:hAnsi="Arial Narrow"/>
          <w:sz w:val="4"/>
          <w:szCs w:val="22"/>
        </w:rPr>
      </w:pPr>
    </w:p>
    <w:p w:rsidR="00040D08" w:rsidRDefault="00040D08" w:rsidP="00040D08">
      <w:pPr>
        <w:pStyle w:val="Sangradetextonormal"/>
        <w:numPr>
          <w:ilvl w:val="0"/>
          <w:numId w:val="41"/>
        </w:numPr>
        <w:ind w:left="993" w:hanging="284"/>
        <w:rPr>
          <w:rFonts w:ascii="Arial Narrow" w:hAnsi="Arial Narrow"/>
          <w:sz w:val="22"/>
          <w:szCs w:val="22"/>
        </w:rPr>
      </w:pPr>
      <w:r w:rsidRPr="00040D08">
        <w:rPr>
          <w:rFonts w:ascii="Arial Narrow" w:hAnsi="Arial Narrow"/>
          <w:sz w:val="22"/>
          <w:szCs w:val="22"/>
        </w:rPr>
        <w:t>La conducción responsable de las finanzas públicas y el uso mesurado del endeudamiento, como medios para preservar la estabilidad macroeconómica y asegurar el cumplimiento en el largo plazo de las metas y obligaciones del Estado;</w:t>
      </w:r>
    </w:p>
    <w:p w:rsidR="00040D08" w:rsidRDefault="00040D08" w:rsidP="00040D08">
      <w:pPr>
        <w:pStyle w:val="Sangradetextonormal"/>
        <w:numPr>
          <w:ilvl w:val="0"/>
          <w:numId w:val="41"/>
        </w:numPr>
        <w:ind w:left="993" w:hanging="284"/>
        <w:rPr>
          <w:rFonts w:ascii="Arial Narrow" w:hAnsi="Arial Narrow"/>
          <w:sz w:val="22"/>
          <w:szCs w:val="22"/>
        </w:rPr>
      </w:pPr>
      <w:r w:rsidRPr="00040D08">
        <w:rPr>
          <w:rFonts w:ascii="Arial Narrow" w:hAnsi="Arial Narrow"/>
          <w:sz w:val="22"/>
          <w:szCs w:val="22"/>
        </w:rPr>
        <w:t>El fortalecimiento permanente de las fuentes de ingresos del sector público, alcanzando primero todo el potencial del marco fiscal vigente;</w:t>
      </w:r>
    </w:p>
    <w:p w:rsidR="00040D08" w:rsidRDefault="00040D08" w:rsidP="00040D08">
      <w:pPr>
        <w:pStyle w:val="Sangradetextonormal"/>
        <w:numPr>
          <w:ilvl w:val="0"/>
          <w:numId w:val="41"/>
        </w:numPr>
        <w:ind w:left="993" w:hanging="284"/>
        <w:rPr>
          <w:rFonts w:ascii="Arial Narrow" w:hAnsi="Arial Narrow"/>
          <w:sz w:val="22"/>
          <w:szCs w:val="22"/>
        </w:rPr>
      </w:pPr>
      <w:r w:rsidRPr="00040D08">
        <w:rPr>
          <w:rFonts w:ascii="Arial Narrow" w:hAnsi="Arial Narrow"/>
          <w:sz w:val="22"/>
          <w:szCs w:val="22"/>
        </w:rPr>
        <w:t>La honestidad y la eficiencia en el ejercicio del gasto público, así como su focalización en la inversión social y en infraestructura en las personas y regiones en desventaja, con el fin de maximizar el rendimiento social de las erogaciones públicas; y</w:t>
      </w:r>
    </w:p>
    <w:p w:rsidR="00513C47" w:rsidRDefault="00040D08" w:rsidP="00040D08">
      <w:pPr>
        <w:pStyle w:val="Sangradetextonormal"/>
        <w:numPr>
          <w:ilvl w:val="0"/>
          <w:numId w:val="41"/>
        </w:numPr>
        <w:ind w:left="993" w:hanging="284"/>
        <w:rPr>
          <w:rFonts w:ascii="Arial Narrow" w:hAnsi="Arial Narrow"/>
          <w:sz w:val="22"/>
          <w:szCs w:val="22"/>
        </w:rPr>
      </w:pPr>
      <w:r w:rsidRPr="00040D08">
        <w:rPr>
          <w:rFonts w:ascii="Arial Narrow" w:hAnsi="Arial Narrow"/>
          <w:sz w:val="22"/>
          <w:szCs w:val="22"/>
        </w:rPr>
        <w:t>La profundización del sistema financiero, para que más recursos lleguen a más hogares y empresas, en especial a los que actualmente no tienen acceso a financiamiento.</w:t>
      </w:r>
    </w:p>
    <w:p w:rsidR="00040D08" w:rsidRPr="00040D08" w:rsidRDefault="00040D08" w:rsidP="00040D08">
      <w:pPr>
        <w:pStyle w:val="Sangradetextonormal"/>
        <w:ind w:left="993" w:firstLine="0"/>
        <w:rPr>
          <w:rFonts w:ascii="Arial Narrow" w:hAnsi="Arial Narrow"/>
          <w:sz w:val="22"/>
          <w:szCs w:val="22"/>
        </w:rPr>
      </w:pPr>
    </w:p>
    <w:p w:rsidR="00B83815" w:rsidRDefault="00B83815" w:rsidP="00B83815">
      <w:pPr>
        <w:pStyle w:val="Sangradetextonormal"/>
        <w:numPr>
          <w:ilvl w:val="0"/>
          <w:numId w:val="6"/>
        </w:numPr>
        <w:tabs>
          <w:tab w:val="clear" w:pos="1068"/>
          <w:tab w:val="num" w:pos="720"/>
        </w:tabs>
        <w:ind w:hanging="708"/>
        <w:jc w:val="left"/>
        <w:rPr>
          <w:rFonts w:ascii="Arial Narrow" w:hAnsi="Arial Narrow"/>
          <w:b/>
          <w:bCs/>
          <w:szCs w:val="28"/>
        </w:rPr>
      </w:pPr>
      <w:r w:rsidRPr="00992D26">
        <w:rPr>
          <w:rFonts w:ascii="Arial Narrow" w:hAnsi="Arial Narrow"/>
          <w:b/>
          <w:bCs/>
          <w:szCs w:val="28"/>
        </w:rPr>
        <w:t>Metas</w:t>
      </w:r>
    </w:p>
    <w:p w:rsidR="00EA3219" w:rsidRDefault="00EA3219" w:rsidP="00EA3219">
      <w:pPr>
        <w:pStyle w:val="Sangradetextonormal"/>
        <w:ind w:left="1068" w:hanging="359"/>
        <w:rPr>
          <w:rFonts w:ascii="Arial Narrow" w:hAnsi="Arial Narrow"/>
          <w:bCs/>
          <w:sz w:val="22"/>
          <w:szCs w:val="22"/>
        </w:rPr>
      </w:pPr>
      <w:r w:rsidRPr="00EA3219">
        <w:rPr>
          <w:rFonts w:ascii="Arial Narrow" w:hAnsi="Arial Narrow"/>
          <w:bCs/>
          <w:szCs w:val="28"/>
        </w:rPr>
        <w:t>•</w:t>
      </w:r>
      <w:r w:rsidRPr="00EA3219">
        <w:rPr>
          <w:rFonts w:ascii="Arial Narrow" w:hAnsi="Arial Narrow"/>
          <w:bCs/>
          <w:szCs w:val="28"/>
        </w:rPr>
        <w:tab/>
      </w:r>
      <w:r>
        <w:rPr>
          <w:rFonts w:ascii="Arial Narrow" w:hAnsi="Arial Narrow"/>
          <w:bCs/>
          <w:sz w:val="22"/>
          <w:szCs w:val="22"/>
        </w:rPr>
        <w:t>Se utilizó</w:t>
      </w:r>
      <w:r w:rsidRPr="00EA3219">
        <w:rPr>
          <w:rFonts w:ascii="Arial Narrow" w:hAnsi="Arial Narrow"/>
          <w:bCs/>
          <w:sz w:val="22"/>
          <w:szCs w:val="22"/>
        </w:rPr>
        <w:t xml:space="preserve"> una tasa de crecimiento anual de la economía de -8.0%</w:t>
      </w:r>
      <w:r w:rsidR="00177134">
        <w:rPr>
          <w:rFonts w:ascii="Arial Narrow" w:hAnsi="Arial Narrow"/>
          <w:bCs/>
          <w:sz w:val="22"/>
          <w:szCs w:val="22"/>
        </w:rPr>
        <w:t xml:space="preserve"> para 2020 y 4.6% para 2021.</w:t>
      </w:r>
    </w:p>
    <w:p w:rsidR="00EA3219" w:rsidRDefault="00EA3219" w:rsidP="00EA3219">
      <w:pPr>
        <w:pStyle w:val="Sangradetextonormal"/>
        <w:numPr>
          <w:ilvl w:val="0"/>
          <w:numId w:val="42"/>
        </w:numPr>
        <w:ind w:left="1134" w:hanging="425"/>
        <w:rPr>
          <w:rFonts w:ascii="Arial Narrow" w:hAnsi="Arial Narrow"/>
          <w:bCs/>
          <w:sz w:val="22"/>
          <w:szCs w:val="22"/>
        </w:rPr>
      </w:pPr>
      <w:r>
        <w:rPr>
          <w:rFonts w:ascii="Arial Narrow" w:hAnsi="Arial Narrow"/>
          <w:bCs/>
          <w:sz w:val="22"/>
          <w:szCs w:val="22"/>
        </w:rPr>
        <w:t>Se empleó</w:t>
      </w:r>
      <w:r w:rsidRPr="00EA3219">
        <w:rPr>
          <w:rFonts w:ascii="Arial Narrow" w:hAnsi="Arial Narrow"/>
          <w:bCs/>
          <w:sz w:val="22"/>
          <w:szCs w:val="22"/>
        </w:rPr>
        <w:t xml:space="preserve"> un precio promedio de la mezcla mexicana de petróleo en 2020 de 34.6 dpb</w:t>
      </w:r>
      <w:r w:rsidR="00177134">
        <w:rPr>
          <w:rFonts w:ascii="Arial Narrow" w:hAnsi="Arial Narrow"/>
          <w:bCs/>
          <w:sz w:val="22"/>
          <w:szCs w:val="22"/>
        </w:rPr>
        <w:t xml:space="preserve"> y 42.1 dpb para 2021</w:t>
      </w:r>
    </w:p>
    <w:p w:rsidR="00EA3219" w:rsidRDefault="00EA3219" w:rsidP="00EA3219">
      <w:pPr>
        <w:pStyle w:val="Sangradetextonormal"/>
        <w:numPr>
          <w:ilvl w:val="0"/>
          <w:numId w:val="42"/>
        </w:numPr>
        <w:ind w:left="1134" w:hanging="425"/>
        <w:rPr>
          <w:rFonts w:ascii="Arial Narrow" w:hAnsi="Arial Narrow"/>
          <w:bCs/>
          <w:sz w:val="22"/>
          <w:szCs w:val="22"/>
        </w:rPr>
      </w:pPr>
      <w:r>
        <w:rPr>
          <w:rFonts w:ascii="Arial Narrow" w:hAnsi="Arial Narrow"/>
          <w:bCs/>
          <w:sz w:val="22"/>
          <w:szCs w:val="22"/>
        </w:rPr>
        <w:t>Se previó</w:t>
      </w:r>
      <w:r w:rsidRPr="00EA3219">
        <w:rPr>
          <w:rFonts w:ascii="Arial Narrow" w:hAnsi="Arial Narrow"/>
          <w:bCs/>
          <w:sz w:val="22"/>
          <w:szCs w:val="22"/>
        </w:rPr>
        <w:t xml:space="preserve"> una inflación anual </w:t>
      </w:r>
      <w:r w:rsidR="00177134">
        <w:rPr>
          <w:rFonts w:ascii="Arial Narrow" w:hAnsi="Arial Narrow"/>
          <w:bCs/>
          <w:sz w:val="22"/>
          <w:szCs w:val="22"/>
        </w:rPr>
        <w:t xml:space="preserve">2020 </w:t>
      </w:r>
      <w:r w:rsidRPr="00EA3219">
        <w:rPr>
          <w:rFonts w:ascii="Arial Narrow" w:hAnsi="Arial Narrow"/>
          <w:bCs/>
          <w:sz w:val="22"/>
          <w:szCs w:val="22"/>
        </w:rPr>
        <w:t>de 3.5%</w:t>
      </w:r>
      <w:r w:rsidR="00177134">
        <w:rPr>
          <w:rFonts w:ascii="Arial Narrow" w:hAnsi="Arial Narrow"/>
          <w:bCs/>
          <w:sz w:val="22"/>
          <w:szCs w:val="22"/>
        </w:rPr>
        <w:t xml:space="preserve"> y 3.0 para 2021</w:t>
      </w:r>
      <w:r w:rsidRPr="00EA3219">
        <w:rPr>
          <w:rFonts w:ascii="Arial Narrow" w:hAnsi="Arial Narrow"/>
          <w:bCs/>
          <w:sz w:val="22"/>
          <w:szCs w:val="22"/>
        </w:rPr>
        <w:t>, que se ubica dentro del rango de variabilidad del Banco de México</w:t>
      </w:r>
      <w:r w:rsidR="00177134">
        <w:rPr>
          <w:rFonts w:ascii="Arial Narrow" w:hAnsi="Arial Narrow"/>
          <w:bCs/>
          <w:sz w:val="22"/>
          <w:szCs w:val="22"/>
        </w:rPr>
        <w:t>.</w:t>
      </w:r>
    </w:p>
    <w:p w:rsidR="00EA3219" w:rsidRDefault="00EA3219" w:rsidP="00EA3219">
      <w:pPr>
        <w:pStyle w:val="Sangradetextonormal"/>
        <w:numPr>
          <w:ilvl w:val="0"/>
          <w:numId w:val="42"/>
        </w:numPr>
        <w:ind w:left="1134" w:hanging="425"/>
        <w:rPr>
          <w:rFonts w:ascii="Arial Narrow" w:hAnsi="Arial Narrow"/>
          <w:bCs/>
          <w:sz w:val="22"/>
          <w:szCs w:val="22"/>
        </w:rPr>
      </w:pPr>
      <w:r>
        <w:rPr>
          <w:rFonts w:ascii="Arial Narrow" w:hAnsi="Arial Narrow"/>
          <w:bCs/>
          <w:sz w:val="22"/>
          <w:szCs w:val="22"/>
        </w:rPr>
        <w:t>Se utilizó</w:t>
      </w:r>
      <w:r w:rsidRPr="00EA3219">
        <w:rPr>
          <w:rFonts w:ascii="Arial Narrow" w:hAnsi="Arial Narrow"/>
          <w:bCs/>
          <w:sz w:val="22"/>
          <w:szCs w:val="22"/>
        </w:rPr>
        <w:t xml:space="preserve"> un tipo de cambio promedio para 2020 de 22.0 pesos por dólar</w:t>
      </w:r>
      <w:r w:rsidR="00177134">
        <w:rPr>
          <w:rFonts w:ascii="Arial Narrow" w:hAnsi="Arial Narrow"/>
          <w:bCs/>
          <w:sz w:val="22"/>
          <w:szCs w:val="22"/>
        </w:rPr>
        <w:t xml:space="preserve"> y 22.1 para 2021</w:t>
      </w:r>
    </w:p>
    <w:p w:rsidR="00EA3219" w:rsidRPr="00EA3219" w:rsidRDefault="00EA3219" w:rsidP="00EA3219">
      <w:pPr>
        <w:pStyle w:val="Sangradetextonormal"/>
        <w:numPr>
          <w:ilvl w:val="0"/>
          <w:numId w:val="42"/>
        </w:numPr>
        <w:ind w:left="1134" w:hanging="425"/>
        <w:rPr>
          <w:rFonts w:ascii="Arial Narrow" w:hAnsi="Arial Narrow"/>
          <w:bCs/>
          <w:sz w:val="22"/>
          <w:szCs w:val="22"/>
        </w:rPr>
      </w:pPr>
      <w:r w:rsidRPr="00EA3219">
        <w:rPr>
          <w:rFonts w:ascii="Arial Narrow" w:hAnsi="Arial Narrow"/>
          <w:bCs/>
          <w:sz w:val="22"/>
          <w:szCs w:val="22"/>
        </w:rPr>
        <w:t>Respecto a la tasa de Cetes a 2</w:t>
      </w:r>
      <w:r>
        <w:rPr>
          <w:rFonts w:ascii="Arial Narrow" w:hAnsi="Arial Narrow"/>
          <w:bCs/>
          <w:sz w:val="22"/>
          <w:szCs w:val="22"/>
        </w:rPr>
        <w:t xml:space="preserve">8 días al cierre </w:t>
      </w:r>
      <w:r w:rsidR="00177134">
        <w:rPr>
          <w:rFonts w:ascii="Arial Narrow" w:hAnsi="Arial Narrow"/>
          <w:bCs/>
          <w:sz w:val="22"/>
          <w:szCs w:val="22"/>
        </w:rPr>
        <w:t>de 2020 y 2021</w:t>
      </w:r>
      <w:r>
        <w:rPr>
          <w:rFonts w:ascii="Arial Narrow" w:hAnsi="Arial Narrow"/>
          <w:bCs/>
          <w:sz w:val="22"/>
          <w:szCs w:val="22"/>
        </w:rPr>
        <w:t xml:space="preserve"> se usó</w:t>
      </w:r>
      <w:r w:rsidRPr="00EA3219">
        <w:rPr>
          <w:rFonts w:ascii="Arial Narrow" w:hAnsi="Arial Narrow"/>
          <w:bCs/>
          <w:sz w:val="22"/>
          <w:szCs w:val="22"/>
        </w:rPr>
        <w:t xml:space="preserve"> un nivel de 4.0%</w:t>
      </w:r>
      <w:r w:rsidR="00177134">
        <w:rPr>
          <w:rFonts w:ascii="Arial Narrow" w:hAnsi="Arial Narrow"/>
          <w:bCs/>
          <w:sz w:val="22"/>
          <w:szCs w:val="22"/>
        </w:rPr>
        <w:t>.</w:t>
      </w: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lastRenderedPageBreak/>
        <w:t>2.1.1.2.- Evolución de las Variables Económicas</w:t>
      </w:r>
    </w:p>
    <w:p w:rsidR="00B83815" w:rsidRPr="00992D26" w:rsidRDefault="00B83815" w:rsidP="00B83815">
      <w:pPr>
        <w:pStyle w:val="Sangradetextonormal"/>
        <w:spacing w:line="240" w:lineRule="auto"/>
        <w:ind w:firstLine="0"/>
        <w:jc w:val="left"/>
        <w:rPr>
          <w:rFonts w:ascii="Arial Narrow" w:hAnsi="Arial Narrow"/>
          <w:b/>
          <w:bCs/>
          <w:szCs w:val="28"/>
        </w:rPr>
      </w:pPr>
      <w:r w:rsidRPr="00992D26">
        <w:rPr>
          <w:rFonts w:ascii="Arial Narrow" w:hAnsi="Arial Narrow"/>
          <w:b/>
          <w:bCs/>
          <w:szCs w:val="28"/>
        </w:rPr>
        <w:tab/>
      </w:r>
    </w:p>
    <w:p w:rsidR="00B83815" w:rsidRPr="00992D26"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992D26">
        <w:rPr>
          <w:rFonts w:ascii="Arial Narrow" w:hAnsi="Arial Narrow"/>
          <w:b/>
          <w:bCs/>
          <w:szCs w:val="28"/>
        </w:rPr>
        <w:t>Producto Interno Bruto (PIB)</w:t>
      </w:r>
    </w:p>
    <w:p w:rsidR="00B83815" w:rsidRPr="00992D26" w:rsidRDefault="00B83815" w:rsidP="00A91C79">
      <w:pPr>
        <w:pStyle w:val="Sangradetextonormal"/>
        <w:spacing w:line="240" w:lineRule="auto"/>
        <w:ind w:left="539" w:firstLine="0"/>
        <w:jc w:val="left"/>
        <w:rPr>
          <w:rFonts w:ascii="Arial Narrow" w:hAnsi="Arial Narrow"/>
          <w:b/>
          <w:bCs/>
          <w:sz w:val="32"/>
          <w:szCs w:val="32"/>
        </w:rPr>
      </w:pPr>
    </w:p>
    <w:p w:rsidR="00B83815" w:rsidRPr="00992D26" w:rsidRDefault="00B83815" w:rsidP="00B83815">
      <w:pPr>
        <w:pStyle w:val="Sangradetextonormal"/>
        <w:rPr>
          <w:rFonts w:ascii="Arial Narrow" w:hAnsi="Arial Narrow"/>
          <w:bCs/>
          <w:sz w:val="22"/>
          <w:szCs w:val="22"/>
        </w:rPr>
      </w:pPr>
      <w:r w:rsidRPr="00992D26">
        <w:rPr>
          <w:rFonts w:ascii="Arial Narrow" w:hAnsi="Arial Narrow"/>
          <w:bCs/>
          <w:sz w:val="22"/>
          <w:szCs w:val="22"/>
        </w:rPr>
        <w:t>Cabe señalar que la info</w:t>
      </w:r>
      <w:r w:rsidR="00A91C79">
        <w:rPr>
          <w:rFonts w:ascii="Arial Narrow" w:hAnsi="Arial Narrow"/>
          <w:bCs/>
          <w:sz w:val="22"/>
          <w:szCs w:val="22"/>
        </w:rPr>
        <w:t xml:space="preserve">rmación relacionada con el PIB </w:t>
      </w:r>
      <w:r w:rsidRPr="00992D26">
        <w:rPr>
          <w:rFonts w:ascii="Arial Narrow" w:hAnsi="Arial Narrow"/>
          <w:bCs/>
          <w:sz w:val="22"/>
          <w:szCs w:val="22"/>
        </w:rPr>
        <w:t>(Producto Interno Bruto) ofrece en el corto plazo, una visión oportuna, completa y coherente de la evolución de las actividades económicas del país, para apoyar la toma de decisiones.</w:t>
      </w:r>
    </w:p>
    <w:p w:rsidR="00B83815" w:rsidRPr="00992D26" w:rsidRDefault="00B83815" w:rsidP="00B83815">
      <w:pPr>
        <w:pStyle w:val="Sangradetextonormal"/>
        <w:rPr>
          <w:rFonts w:ascii="Arial Narrow" w:hAnsi="Arial Narrow"/>
          <w:bCs/>
          <w:sz w:val="22"/>
          <w:szCs w:val="22"/>
        </w:rPr>
      </w:pPr>
    </w:p>
    <w:p w:rsidR="00B83815" w:rsidRDefault="00B83815" w:rsidP="00DF5991">
      <w:pPr>
        <w:pStyle w:val="Sangradetextonormal"/>
        <w:ind w:firstLine="720"/>
        <w:rPr>
          <w:rFonts w:ascii="Arial Narrow" w:hAnsi="Arial Narrow"/>
          <w:sz w:val="22"/>
          <w:szCs w:val="22"/>
        </w:rPr>
      </w:pPr>
      <w:r w:rsidRPr="00992D26">
        <w:rPr>
          <w:rFonts w:ascii="Arial Narrow" w:hAnsi="Arial Narrow"/>
          <w:sz w:val="22"/>
          <w:szCs w:val="22"/>
        </w:rPr>
        <w:t>Al respecto, se informa q</w:t>
      </w:r>
      <w:r w:rsidR="009769C7">
        <w:rPr>
          <w:rFonts w:ascii="Arial Narrow" w:hAnsi="Arial Narrow"/>
          <w:sz w:val="22"/>
          <w:szCs w:val="22"/>
        </w:rPr>
        <w:t>u</w:t>
      </w:r>
      <w:r w:rsidR="00EF7E06">
        <w:rPr>
          <w:rFonts w:ascii="Arial Narrow" w:hAnsi="Arial Narrow"/>
          <w:sz w:val="22"/>
          <w:szCs w:val="22"/>
        </w:rPr>
        <w:t xml:space="preserve">e </w:t>
      </w:r>
      <w:r w:rsidR="00723F14">
        <w:rPr>
          <w:rFonts w:ascii="Arial Narrow" w:hAnsi="Arial Narrow"/>
          <w:sz w:val="22"/>
          <w:szCs w:val="22"/>
        </w:rPr>
        <w:t>e</w:t>
      </w:r>
      <w:r w:rsidR="00723F14" w:rsidRPr="00723F14">
        <w:rPr>
          <w:rFonts w:ascii="Arial Narrow" w:hAnsi="Arial Narrow"/>
          <w:sz w:val="22"/>
          <w:szCs w:val="22"/>
        </w:rPr>
        <w:t>n el cuarto trimestre de 2021 y</w:t>
      </w:r>
      <w:r w:rsidR="00723F14">
        <w:rPr>
          <w:rFonts w:ascii="Arial Narrow" w:hAnsi="Arial Narrow"/>
          <w:sz w:val="22"/>
          <w:szCs w:val="22"/>
        </w:rPr>
        <w:t xml:space="preserve"> con cifras desestacionalizadas</w:t>
      </w:r>
      <w:r w:rsidR="00723F14" w:rsidRPr="00723F14">
        <w:rPr>
          <w:rFonts w:ascii="Arial Narrow" w:hAnsi="Arial Narrow"/>
          <w:sz w:val="22"/>
          <w:szCs w:val="22"/>
        </w:rPr>
        <w:t xml:space="preserve">, </w:t>
      </w:r>
      <w:r w:rsidR="00723F14">
        <w:rPr>
          <w:rFonts w:ascii="Arial Narrow" w:hAnsi="Arial Narrow"/>
          <w:sz w:val="22"/>
          <w:szCs w:val="22"/>
        </w:rPr>
        <w:t>el Producto Interno Bruto (PIB)</w:t>
      </w:r>
      <w:r w:rsidR="00723F14" w:rsidRPr="00723F14">
        <w:rPr>
          <w:rFonts w:ascii="Arial Narrow" w:hAnsi="Arial Narrow"/>
          <w:sz w:val="22"/>
          <w:szCs w:val="22"/>
        </w:rPr>
        <w:t xml:space="preserve"> no mostró variación en términos reales a tasa trimestral.</w:t>
      </w:r>
      <w:r w:rsidR="00DA160D">
        <w:rPr>
          <w:rFonts w:ascii="Arial Narrow" w:hAnsi="Arial Narrow"/>
          <w:sz w:val="22"/>
          <w:szCs w:val="22"/>
        </w:rPr>
        <w:t xml:space="preserve"> </w:t>
      </w:r>
      <w:r w:rsidR="00723F14">
        <w:rPr>
          <w:rFonts w:ascii="Arial Narrow" w:hAnsi="Arial Narrow"/>
          <w:sz w:val="22"/>
          <w:szCs w:val="22"/>
        </w:rPr>
        <w:t xml:space="preserve">Por componentes </w:t>
      </w:r>
      <w:r w:rsidR="00723F14" w:rsidRPr="00723F14">
        <w:rPr>
          <w:rFonts w:ascii="Arial Narrow" w:hAnsi="Arial Narrow"/>
          <w:sz w:val="22"/>
          <w:szCs w:val="22"/>
        </w:rPr>
        <w:t>y con series ajustadas por estacionalidad, el comportamiento fue el siguiente: el PIB de las actividades secundarias aumentó 0.4%, el de las primarias 0.2% y el de las actividades terciarias disminuyó 0.6% respecto al trimestre anterior.</w:t>
      </w:r>
    </w:p>
    <w:p w:rsidR="00DF5991" w:rsidRPr="00992D26" w:rsidRDefault="00DF5991" w:rsidP="00DF5991">
      <w:pPr>
        <w:pStyle w:val="Sangradetextonormal"/>
        <w:ind w:firstLine="720"/>
        <w:rPr>
          <w:rFonts w:ascii="Arial Narrow" w:hAnsi="Arial Narrow"/>
          <w:b/>
          <w:bCs/>
          <w:sz w:val="22"/>
          <w:szCs w:val="22"/>
        </w:rPr>
      </w:pPr>
    </w:p>
    <w:p w:rsidR="00EE6C66" w:rsidRPr="00EE6C66" w:rsidRDefault="00B83815" w:rsidP="00EE6C66">
      <w:pPr>
        <w:pStyle w:val="Sangradetextonormal"/>
        <w:ind w:firstLine="720"/>
        <w:rPr>
          <w:rFonts w:ascii="Arial Narrow" w:hAnsi="Arial Narrow"/>
          <w:sz w:val="22"/>
          <w:szCs w:val="22"/>
        </w:rPr>
      </w:pPr>
      <w:r w:rsidRPr="00992D26">
        <w:rPr>
          <w:rFonts w:ascii="Arial Narrow" w:hAnsi="Arial Narrow"/>
          <w:sz w:val="22"/>
          <w:szCs w:val="22"/>
        </w:rPr>
        <w:t xml:space="preserve">En su comparación anual, </w:t>
      </w:r>
      <w:r w:rsidR="00723F14" w:rsidRPr="00723F14">
        <w:rPr>
          <w:rFonts w:ascii="Arial Narrow" w:hAnsi="Arial Narrow"/>
          <w:sz w:val="22"/>
          <w:szCs w:val="22"/>
        </w:rPr>
        <w:t xml:space="preserve">con series desestacionalizadas, el </w:t>
      </w:r>
      <w:r w:rsidR="00DA160D">
        <w:rPr>
          <w:rFonts w:ascii="Arial Narrow" w:hAnsi="Arial Narrow"/>
          <w:sz w:val="22"/>
          <w:szCs w:val="22"/>
        </w:rPr>
        <w:t>PIB</w:t>
      </w:r>
      <w:r w:rsidR="00723F14" w:rsidRPr="00723F14">
        <w:rPr>
          <w:rFonts w:ascii="Arial Narrow" w:hAnsi="Arial Narrow"/>
          <w:sz w:val="22"/>
          <w:szCs w:val="22"/>
        </w:rPr>
        <w:t xml:space="preserve"> registró un alza de 1.1% en términos reales en el cuarto trimestre de 2021. Por grandes grupos de actividades económicas, el PIB de las actividades primarias avanzó 4.7%, el de las secundarias 1.6% y el de las actividades terciarias ascendió 0.3%.</w:t>
      </w:r>
    </w:p>
    <w:p w:rsidR="00B83815" w:rsidRDefault="00B83815" w:rsidP="00B83815">
      <w:pPr>
        <w:pStyle w:val="Sangradetextonormal"/>
        <w:ind w:firstLine="720"/>
        <w:rPr>
          <w:rFonts w:ascii="Arial Narrow" w:hAnsi="Arial Narrow"/>
          <w:sz w:val="25"/>
        </w:rPr>
      </w:pPr>
    </w:p>
    <w:p w:rsidR="00B83815" w:rsidRPr="00992D26"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992D26">
        <w:rPr>
          <w:rFonts w:ascii="Arial Narrow" w:hAnsi="Arial Narrow"/>
          <w:b/>
          <w:bCs/>
          <w:szCs w:val="28"/>
        </w:rPr>
        <w:t>Empleo</w:t>
      </w:r>
    </w:p>
    <w:p w:rsidR="00B83815" w:rsidRPr="00992D26" w:rsidRDefault="00B83815" w:rsidP="00B83815">
      <w:pPr>
        <w:pStyle w:val="Sangradetextonormal"/>
        <w:ind w:firstLine="876"/>
        <w:rPr>
          <w:rFonts w:ascii="Arial Narrow" w:hAnsi="Arial Narrow"/>
          <w:sz w:val="25"/>
        </w:rPr>
      </w:pPr>
    </w:p>
    <w:p w:rsidR="00B83815" w:rsidRDefault="005E3593" w:rsidP="00B83815">
      <w:pPr>
        <w:pStyle w:val="Sangradetextonormal"/>
        <w:ind w:firstLine="876"/>
        <w:rPr>
          <w:rFonts w:ascii="Arial Narrow" w:hAnsi="Arial Narrow"/>
          <w:sz w:val="22"/>
          <w:szCs w:val="22"/>
        </w:rPr>
      </w:pPr>
      <w:r w:rsidRPr="005E3593">
        <w:rPr>
          <w:rFonts w:ascii="Arial Narrow" w:hAnsi="Arial Narrow"/>
          <w:sz w:val="22"/>
          <w:szCs w:val="22"/>
        </w:rPr>
        <w:t>De acuerdo con el Instituto Mexicano del Seguro Social (IMSS), la ocupación formal en diciembre de 2021 se ubicó en 20.6 millones de trabajadores asegurados. Esto significó un incremento anual de 846,416 empleos en 2021 (+4.3%), una recuperación completa de los empleos perdidos por la pandemia y mayor por más de un millón de empleos desde el nivel más bajo alcanzado en julio de 2020. El aumento en el número de plazas se explicó por el incremento de 5.6% anual en contratos permanentes (948 mil 711 plazas) mientras que se redujeron en 3.7% las plazas eventuales (102 mil 295 plazas en el año). En este contexto, el incremento anual de puestos de trabajo totales provino mayoritariamente de la industria manufacturera (5.0%), el comercio (6.2%), los servicios de transporte (11.0%), y la construcción (7.0%).</w:t>
      </w:r>
    </w:p>
    <w:p w:rsidR="00B83815" w:rsidRPr="00937681"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937681">
        <w:rPr>
          <w:rFonts w:ascii="Arial Narrow" w:hAnsi="Arial Narrow"/>
          <w:b/>
          <w:bCs/>
          <w:szCs w:val="28"/>
        </w:rPr>
        <w:lastRenderedPageBreak/>
        <w:t>Inflación</w:t>
      </w:r>
    </w:p>
    <w:p w:rsidR="00B83815" w:rsidRPr="009A7794" w:rsidRDefault="00B83815" w:rsidP="00B83815">
      <w:pPr>
        <w:pStyle w:val="Sangradetextonormal"/>
        <w:spacing w:line="240" w:lineRule="auto"/>
        <w:ind w:left="540" w:firstLine="0"/>
        <w:jc w:val="left"/>
        <w:rPr>
          <w:rFonts w:ascii="Arial Narrow" w:hAnsi="Arial Narrow"/>
          <w:b/>
          <w:bCs/>
          <w:sz w:val="14"/>
          <w:szCs w:val="32"/>
        </w:rPr>
      </w:pPr>
    </w:p>
    <w:p w:rsidR="00A91C79" w:rsidRPr="00937681" w:rsidRDefault="00A91C79" w:rsidP="00A91C79">
      <w:pPr>
        <w:pStyle w:val="Sangradetextonormal"/>
        <w:spacing w:line="120" w:lineRule="auto"/>
        <w:ind w:left="539" w:firstLine="0"/>
        <w:jc w:val="left"/>
        <w:rPr>
          <w:rFonts w:ascii="Arial Narrow" w:hAnsi="Arial Narrow"/>
          <w:b/>
          <w:bCs/>
          <w:sz w:val="32"/>
          <w:szCs w:val="32"/>
        </w:rPr>
      </w:pPr>
    </w:p>
    <w:p w:rsidR="005E3593" w:rsidRPr="005E3593" w:rsidRDefault="00A12D0D" w:rsidP="005E3593">
      <w:pPr>
        <w:pStyle w:val="Sangradetextonormal"/>
        <w:ind w:firstLine="876"/>
        <w:rPr>
          <w:rFonts w:ascii="Arial Narrow" w:hAnsi="Arial Narrow"/>
          <w:sz w:val="22"/>
          <w:szCs w:val="22"/>
        </w:rPr>
      </w:pPr>
      <w:r>
        <w:rPr>
          <w:rFonts w:ascii="Arial Narrow" w:hAnsi="Arial Narrow"/>
          <w:sz w:val="22"/>
          <w:szCs w:val="22"/>
        </w:rPr>
        <w:t xml:space="preserve">El Banco de México informa que </w:t>
      </w:r>
      <w:r w:rsidR="005E3593" w:rsidRPr="005E3593">
        <w:rPr>
          <w:rFonts w:ascii="Arial Narrow" w:hAnsi="Arial Narrow"/>
          <w:sz w:val="22"/>
          <w:szCs w:val="22"/>
        </w:rPr>
        <w:t>México ha e</w:t>
      </w:r>
      <w:r w:rsidR="005E3593">
        <w:rPr>
          <w:rFonts w:ascii="Arial Narrow" w:hAnsi="Arial Narrow"/>
          <w:sz w:val="22"/>
          <w:szCs w:val="22"/>
        </w:rPr>
        <w:t xml:space="preserve">nfrentado en 2021 un entorno de elevada </w:t>
      </w:r>
      <w:r w:rsidR="005E3593" w:rsidRPr="005E3593">
        <w:rPr>
          <w:rFonts w:ascii="Arial Narrow" w:hAnsi="Arial Narrow"/>
          <w:sz w:val="22"/>
          <w:szCs w:val="22"/>
        </w:rPr>
        <w:t>inflación, en el cual las presiones al alza sobre los</w:t>
      </w:r>
      <w:r w:rsidR="005E3593">
        <w:rPr>
          <w:rFonts w:ascii="Arial Narrow" w:hAnsi="Arial Narrow"/>
          <w:sz w:val="22"/>
          <w:szCs w:val="22"/>
        </w:rPr>
        <w:t xml:space="preserve"> </w:t>
      </w:r>
      <w:r w:rsidR="005E3593" w:rsidRPr="005E3593">
        <w:rPr>
          <w:rFonts w:ascii="Arial Narrow" w:hAnsi="Arial Narrow"/>
          <w:sz w:val="22"/>
          <w:szCs w:val="22"/>
        </w:rPr>
        <w:t>precios de múltiples bienes y servicios derivadas de</w:t>
      </w:r>
      <w:r w:rsidR="005E3593">
        <w:rPr>
          <w:rFonts w:ascii="Arial Narrow" w:hAnsi="Arial Narrow"/>
          <w:sz w:val="22"/>
          <w:szCs w:val="22"/>
        </w:rPr>
        <w:t xml:space="preserve"> </w:t>
      </w:r>
      <w:r w:rsidR="005E3593" w:rsidRPr="005E3593">
        <w:rPr>
          <w:rFonts w:ascii="Arial Narrow" w:hAnsi="Arial Narrow"/>
          <w:sz w:val="22"/>
          <w:szCs w:val="22"/>
        </w:rPr>
        <w:t>los choques ocasionados por la pandemia de</w:t>
      </w:r>
      <w:r w:rsidR="005E3593">
        <w:rPr>
          <w:rFonts w:ascii="Arial Narrow" w:hAnsi="Arial Narrow"/>
          <w:sz w:val="22"/>
          <w:szCs w:val="22"/>
        </w:rPr>
        <w:t xml:space="preserve"> </w:t>
      </w:r>
      <w:r w:rsidR="005E3593" w:rsidRPr="005E3593">
        <w:rPr>
          <w:rFonts w:ascii="Arial Narrow" w:hAnsi="Arial Narrow"/>
          <w:sz w:val="22"/>
          <w:szCs w:val="22"/>
        </w:rPr>
        <w:t>COVID-19 se han ido intensificando. Así, la inflación</w:t>
      </w:r>
      <w:r w:rsidR="005E3593">
        <w:rPr>
          <w:rFonts w:ascii="Arial Narrow" w:hAnsi="Arial Narrow"/>
          <w:sz w:val="22"/>
          <w:szCs w:val="22"/>
        </w:rPr>
        <w:t xml:space="preserve"> </w:t>
      </w:r>
      <w:r w:rsidR="005E3593" w:rsidRPr="005E3593">
        <w:rPr>
          <w:rFonts w:ascii="Arial Narrow" w:hAnsi="Arial Narrow"/>
          <w:sz w:val="22"/>
          <w:szCs w:val="22"/>
        </w:rPr>
        <w:t>general anual se ha mantenido por arriba de la meta</w:t>
      </w:r>
      <w:r w:rsidR="005E3593">
        <w:rPr>
          <w:rFonts w:ascii="Arial Narrow" w:hAnsi="Arial Narrow"/>
          <w:sz w:val="22"/>
          <w:szCs w:val="22"/>
        </w:rPr>
        <w:t xml:space="preserve"> </w:t>
      </w:r>
      <w:r w:rsidR="005E3593" w:rsidRPr="005E3593">
        <w:rPr>
          <w:rFonts w:ascii="Arial Narrow" w:hAnsi="Arial Narrow"/>
          <w:sz w:val="22"/>
          <w:szCs w:val="22"/>
        </w:rPr>
        <w:t>de 3%, alcanzando al cierre de 2021 niveles no vistos</w:t>
      </w:r>
      <w:r w:rsidR="005E3593">
        <w:rPr>
          <w:rFonts w:ascii="Arial Narrow" w:hAnsi="Arial Narrow"/>
          <w:sz w:val="22"/>
          <w:szCs w:val="22"/>
        </w:rPr>
        <w:t xml:space="preserve"> </w:t>
      </w:r>
      <w:r w:rsidR="005E3593" w:rsidRPr="005E3593">
        <w:rPr>
          <w:rFonts w:ascii="Arial Narrow" w:hAnsi="Arial Narrow"/>
          <w:sz w:val="22"/>
          <w:szCs w:val="22"/>
        </w:rPr>
        <w:t>en dos décadas. La inflación subyacente anual ha</w:t>
      </w:r>
      <w:r w:rsidR="005E3593">
        <w:rPr>
          <w:rFonts w:ascii="Arial Narrow" w:hAnsi="Arial Narrow"/>
          <w:sz w:val="22"/>
          <w:szCs w:val="22"/>
        </w:rPr>
        <w:t xml:space="preserve"> </w:t>
      </w:r>
      <w:r w:rsidR="005E3593" w:rsidRPr="005E3593">
        <w:rPr>
          <w:rFonts w:ascii="Arial Narrow" w:hAnsi="Arial Narrow"/>
          <w:sz w:val="22"/>
          <w:szCs w:val="22"/>
        </w:rPr>
        <w:t>mostrado aumentos durante catorce meses</w:t>
      </w:r>
      <w:r w:rsidR="005E3593">
        <w:rPr>
          <w:rFonts w:ascii="Arial Narrow" w:hAnsi="Arial Narrow"/>
          <w:sz w:val="22"/>
          <w:szCs w:val="22"/>
        </w:rPr>
        <w:t xml:space="preserve"> </w:t>
      </w:r>
      <w:r w:rsidR="005E3593" w:rsidRPr="005E3593">
        <w:rPr>
          <w:rFonts w:ascii="Arial Narrow" w:hAnsi="Arial Narrow"/>
          <w:sz w:val="22"/>
          <w:szCs w:val="22"/>
        </w:rPr>
        <w:t>consecutivos, mientras que el componente no</w:t>
      </w:r>
      <w:r w:rsidR="005E3593">
        <w:rPr>
          <w:rFonts w:ascii="Arial Narrow" w:hAnsi="Arial Narrow"/>
          <w:sz w:val="22"/>
          <w:szCs w:val="22"/>
        </w:rPr>
        <w:t xml:space="preserve"> </w:t>
      </w:r>
      <w:r w:rsidR="005E3593" w:rsidRPr="005E3593">
        <w:rPr>
          <w:rFonts w:ascii="Arial Narrow" w:hAnsi="Arial Narrow"/>
          <w:sz w:val="22"/>
          <w:szCs w:val="22"/>
        </w:rPr>
        <w:t>subyacente ha llegado a registrar incrementos</w:t>
      </w:r>
      <w:r w:rsidR="005E3593">
        <w:rPr>
          <w:rFonts w:ascii="Arial Narrow" w:hAnsi="Arial Narrow"/>
          <w:sz w:val="22"/>
          <w:szCs w:val="22"/>
        </w:rPr>
        <w:t xml:space="preserve"> </w:t>
      </w:r>
      <w:r w:rsidR="005E3593" w:rsidRPr="005E3593">
        <w:rPr>
          <w:rFonts w:ascii="Arial Narrow" w:hAnsi="Arial Narrow"/>
          <w:sz w:val="22"/>
          <w:szCs w:val="22"/>
        </w:rPr>
        <w:t>anuales de dos dígitos.</w:t>
      </w:r>
      <w:r w:rsidR="00DA160D">
        <w:rPr>
          <w:rFonts w:ascii="Arial Narrow" w:hAnsi="Arial Narrow"/>
          <w:sz w:val="22"/>
          <w:szCs w:val="22"/>
        </w:rPr>
        <w:t xml:space="preserve"> </w:t>
      </w:r>
      <w:r w:rsidR="005E3593" w:rsidRPr="005E3593">
        <w:rPr>
          <w:rFonts w:ascii="Arial Narrow" w:hAnsi="Arial Narrow"/>
          <w:sz w:val="22"/>
          <w:szCs w:val="22"/>
        </w:rPr>
        <w:t xml:space="preserve">Los choques </w:t>
      </w:r>
      <w:r w:rsidR="005E3593">
        <w:rPr>
          <w:rFonts w:ascii="Arial Narrow" w:hAnsi="Arial Narrow"/>
          <w:sz w:val="22"/>
          <w:szCs w:val="22"/>
        </w:rPr>
        <w:t xml:space="preserve">relacionados con la pandemia de </w:t>
      </w:r>
      <w:r w:rsidR="005E3593" w:rsidRPr="005E3593">
        <w:rPr>
          <w:rFonts w:ascii="Arial Narrow" w:hAnsi="Arial Narrow"/>
          <w:sz w:val="22"/>
          <w:szCs w:val="22"/>
        </w:rPr>
        <w:t>COVID-19, los cuales han resultado ser más</w:t>
      </w:r>
      <w:r w:rsidR="005E3593">
        <w:rPr>
          <w:rFonts w:ascii="Arial Narrow" w:hAnsi="Arial Narrow"/>
          <w:sz w:val="22"/>
          <w:szCs w:val="22"/>
        </w:rPr>
        <w:t xml:space="preserve"> </w:t>
      </w:r>
      <w:r w:rsidR="005E3593" w:rsidRPr="005E3593">
        <w:rPr>
          <w:rFonts w:ascii="Arial Narrow" w:hAnsi="Arial Narrow"/>
          <w:sz w:val="22"/>
          <w:szCs w:val="22"/>
        </w:rPr>
        <w:t>profundos y de mayor duración a lo anticipado,</w:t>
      </w:r>
      <w:r w:rsidR="005E3593">
        <w:rPr>
          <w:rFonts w:ascii="Arial Narrow" w:hAnsi="Arial Narrow"/>
          <w:sz w:val="22"/>
          <w:szCs w:val="22"/>
        </w:rPr>
        <w:t xml:space="preserve"> </w:t>
      </w:r>
      <w:r w:rsidR="005E3593" w:rsidRPr="005E3593">
        <w:rPr>
          <w:rFonts w:ascii="Arial Narrow" w:hAnsi="Arial Narrow"/>
          <w:sz w:val="22"/>
          <w:szCs w:val="22"/>
        </w:rPr>
        <w:t>siguieron presionando a la inflación de modo que esta siguió</w:t>
      </w:r>
      <w:r w:rsidR="005E3593">
        <w:rPr>
          <w:rFonts w:ascii="Arial Narrow" w:hAnsi="Arial Narrow"/>
          <w:sz w:val="22"/>
          <w:szCs w:val="22"/>
        </w:rPr>
        <w:t xml:space="preserve"> </w:t>
      </w:r>
      <w:r w:rsidR="005E3593" w:rsidRPr="005E3593">
        <w:rPr>
          <w:rFonts w:ascii="Arial Narrow" w:hAnsi="Arial Narrow"/>
          <w:sz w:val="22"/>
          <w:szCs w:val="22"/>
        </w:rPr>
        <w:t>ubicándose en niveles elevados. En particular, entre</w:t>
      </w:r>
      <w:r w:rsidR="005E3593">
        <w:rPr>
          <w:rFonts w:ascii="Arial Narrow" w:hAnsi="Arial Narrow"/>
          <w:sz w:val="22"/>
          <w:szCs w:val="22"/>
        </w:rPr>
        <w:t xml:space="preserve"> </w:t>
      </w:r>
      <w:r w:rsidR="005E3593" w:rsidRPr="005E3593">
        <w:rPr>
          <w:rFonts w:ascii="Arial Narrow" w:hAnsi="Arial Narrow"/>
          <w:sz w:val="22"/>
          <w:szCs w:val="22"/>
        </w:rPr>
        <w:t>el tercer y el cuarto trimestre de 2021, la inflación</w:t>
      </w:r>
      <w:r w:rsidR="005E3593">
        <w:rPr>
          <w:rFonts w:ascii="Arial Narrow" w:hAnsi="Arial Narrow"/>
          <w:sz w:val="22"/>
          <w:szCs w:val="22"/>
        </w:rPr>
        <w:t xml:space="preserve"> </w:t>
      </w:r>
      <w:r w:rsidR="005E3593" w:rsidRPr="005E3593">
        <w:rPr>
          <w:rFonts w:ascii="Arial Narrow" w:hAnsi="Arial Narrow"/>
          <w:sz w:val="22"/>
          <w:szCs w:val="22"/>
        </w:rPr>
        <w:t>general anual pasó de un promedio de 5.80 a uno de</w:t>
      </w:r>
      <w:r w:rsidR="005E3593">
        <w:rPr>
          <w:rFonts w:ascii="Arial Narrow" w:hAnsi="Arial Narrow"/>
          <w:sz w:val="22"/>
          <w:szCs w:val="22"/>
        </w:rPr>
        <w:t xml:space="preserve"> </w:t>
      </w:r>
      <w:r w:rsidR="005E3593" w:rsidRPr="005E3593">
        <w:rPr>
          <w:rFonts w:ascii="Arial Narrow" w:hAnsi="Arial Narrow"/>
          <w:sz w:val="22"/>
          <w:szCs w:val="22"/>
        </w:rPr>
        <w:t>6.99%</w:t>
      </w:r>
      <w:r w:rsidR="00014319">
        <w:rPr>
          <w:rFonts w:ascii="Arial Narrow" w:hAnsi="Arial Narrow"/>
          <w:sz w:val="22"/>
          <w:szCs w:val="22"/>
        </w:rPr>
        <w:t>.</w:t>
      </w:r>
    </w:p>
    <w:p w:rsidR="005E3593" w:rsidRPr="00321CE8" w:rsidRDefault="005E3593" w:rsidP="005E3593">
      <w:pPr>
        <w:pStyle w:val="Sangradetextonormal"/>
        <w:ind w:firstLine="876"/>
        <w:rPr>
          <w:rFonts w:ascii="Arial Narrow" w:hAnsi="Arial Narrow"/>
          <w:sz w:val="22"/>
          <w:szCs w:val="22"/>
        </w:rPr>
      </w:pPr>
    </w:p>
    <w:p w:rsidR="00B83815" w:rsidRDefault="008E3E12" w:rsidP="00A12D0D">
      <w:pPr>
        <w:pStyle w:val="Sangradetextonormal"/>
        <w:ind w:firstLine="876"/>
        <w:rPr>
          <w:rFonts w:ascii="Arial Narrow" w:hAnsi="Arial Narrow"/>
          <w:sz w:val="22"/>
          <w:szCs w:val="22"/>
        </w:rPr>
      </w:pPr>
      <w:r>
        <w:rPr>
          <w:rFonts w:ascii="Arial Narrow" w:hAnsi="Arial Narrow"/>
          <w:sz w:val="22"/>
          <w:szCs w:val="22"/>
        </w:rPr>
        <w:t xml:space="preserve">En </w:t>
      </w:r>
      <w:r w:rsidR="00A12D0D" w:rsidRPr="00A12D0D">
        <w:rPr>
          <w:rFonts w:ascii="Arial Narrow" w:hAnsi="Arial Narrow"/>
          <w:sz w:val="22"/>
          <w:szCs w:val="22"/>
        </w:rPr>
        <w:t xml:space="preserve">este entorno, </w:t>
      </w:r>
      <w:r w:rsidR="00A12D0D">
        <w:rPr>
          <w:rFonts w:ascii="Arial Narrow" w:hAnsi="Arial Narrow"/>
          <w:sz w:val="22"/>
          <w:szCs w:val="22"/>
        </w:rPr>
        <w:t xml:space="preserve">la Secretaría de Hacienda y Crédito Público reporta que </w:t>
      </w:r>
      <w:r w:rsidR="00014319">
        <w:rPr>
          <w:rFonts w:ascii="Arial Narrow" w:hAnsi="Arial Narrow"/>
          <w:sz w:val="22"/>
          <w:szCs w:val="22"/>
        </w:rPr>
        <w:t xml:space="preserve">la inflación, durante el </w:t>
      </w:r>
      <w:r w:rsidR="005E3593" w:rsidRPr="005E3593">
        <w:rPr>
          <w:rFonts w:ascii="Arial Narrow" w:hAnsi="Arial Narrow"/>
          <w:sz w:val="22"/>
          <w:szCs w:val="22"/>
        </w:rPr>
        <w:t>último trimestre de 2021, en línea con lo que sucede en otros países, ésta continuó registrando presiones al alza derivado principalmente a factores externos como cuellos de botella, la escasez de insumos industriales y el aumento en los precios de las materias primas. Adicionalmente, se ha visto presionada, aunque en menor medida, por factores internos relacionados a la recuperación asimétrica de la demanda particularmente en los sectores que más se vieron afectados por el cierre de actividades.</w:t>
      </w:r>
    </w:p>
    <w:p w:rsidR="005E3593" w:rsidRDefault="005E3593" w:rsidP="00A12D0D">
      <w:pPr>
        <w:pStyle w:val="Sangradetextonormal"/>
        <w:ind w:firstLine="876"/>
        <w:rPr>
          <w:rFonts w:ascii="Arial Narrow" w:hAnsi="Arial Narrow"/>
          <w:sz w:val="22"/>
          <w:szCs w:val="22"/>
        </w:rPr>
      </w:pPr>
    </w:p>
    <w:p w:rsidR="005E3593" w:rsidRDefault="005E3593" w:rsidP="00A12D0D">
      <w:pPr>
        <w:pStyle w:val="Sangradetextonormal"/>
        <w:ind w:firstLine="876"/>
        <w:rPr>
          <w:rFonts w:ascii="Arial Narrow" w:hAnsi="Arial Narrow"/>
          <w:sz w:val="22"/>
          <w:szCs w:val="22"/>
        </w:rPr>
      </w:pPr>
      <w:r w:rsidRPr="005E3593">
        <w:rPr>
          <w:rFonts w:ascii="Arial Narrow" w:hAnsi="Arial Narrow"/>
          <w:sz w:val="22"/>
          <w:szCs w:val="22"/>
        </w:rPr>
        <w:t>Por lo anterior, el Índice Nacional de Precios al Consumidor (INPC) tuvo una variación anual promedio de 6.99% en el cuarto trimestre, cerrando en diciembre con una inflación de 7.36%. Si bien este último nivel de inflación no se observaba desde principios de 2001, su desempeño se explica por las disrupciones en la oferta que ocasionó la pandemia de COVID-19 y no por un exceso de liquidez en la economía o una demanda interna desmesurada. Por su parte, la inflación subyacente promedio del cuarto trimestre de 2021 se ubicó en 5.60% anual (0.81 pp. más que en el tercer trimestre) mientras que el promedio de la inflación no subyacente se situó en 11.27% (8.97% en el tercer trimestre).</w:t>
      </w:r>
    </w:p>
    <w:p w:rsidR="00014319" w:rsidRDefault="00014319" w:rsidP="00A12D0D">
      <w:pPr>
        <w:pStyle w:val="Sangradetextonormal"/>
        <w:ind w:firstLine="876"/>
        <w:rPr>
          <w:rFonts w:ascii="Arial Narrow" w:hAnsi="Arial Narrow"/>
          <w:sz w:val="22"/>
          <w:szCs w:val="22"/>
        </w:rPr>
      </w:pPr>
    </w:p>
    <w:p w:rsidR="00B83815" w:rsidRPr="00992D26" w:rsidRDefault="00B83815" w:rsidP="003F2E9F">
      <w:pPr>
        <w:pStyle w:val="Sangradetextonormal"/>
        <w:ind w:firstLine="876"/>
        <w:rPr>
          <w:rFonts w:ascii="Arial Narrow" w:hAnsi="Arial Narrow"/>
          <w:b/>
          <w:bCs/>
          <w:szCs w:val="28"/>
        </w:rPr>
      </w:pPr>
      <w:r w:rsidRPr="001273F3">
        <w:rPr>
          <w:rFonts w:ascii="Arial Narrow" w:hAnsi="Arial Narrow"/>
          <w:sz w:val="22"/>
          <w:szCs w:val="22"/>
        </w:rPr>
        <w:lastRenderedPageBreak/>
        <w:t xml:space="preserve"> </w:t>
      </w:r>
      <w:r w:rsidRPr="00992D26">
        <w:rPr>
          <w:rFonts w:ascii="Arial Narrow" w:hAnsi="Arial Narrow"/>
          <w:b/>
          <w:bCs/>
          <w:szCs w:val="28"/>
        </w:rPr>
        <w:t>Tasas de Interés</w:t>
      </w:r>
    </w:p>
    <w:p w:rsidR="00B83815" w:rsidRPr="00854EB5" w:rsidRDefault="00B83815" w:rsidP="00B83815">
      <w:pPr>
        <w:pStyle w:val="Sangradetextonormal"/>
        <w:ind w:firstLine="876"/>
        <w:rPr>
          <w:rFonts w:ascii="Arial Narrow" w:hAnsi="Arial Narrow"/>
          <w:sz w:val="14"/>
        </w:rPr>
      </w:pPr>
    </w:p>
    <w:p w:rsidR="00F15FD9" w:rsidRDefault="00EE5673" w:rsidP="00012BB9">
      <w:pPr>
        <w:pStyle w:val="Sangradetextonormal"/>
        <w:ind w:firstLine="876"/>
        <w:rPr>
          <w:rFonts w:ascii="Arial Narrow" w:hAnsi="Arial Narrow"/>
          <w:sz w:val="22"/>
          <w:szCs w:val="22"/>
        </w:rPr>
      </w:pPr>
      <w:r>
        <w:rPr>
          <w:rFonts w:ascii="Arial Narrow" w:hAnsi="Arial Narrow"/>
          <w:sz w:val="22"/>
          <w:szCs w:val="22"/>
        </w:rPr>
        <w:t>L</w:t>
      </w:r>
      <w:r w:rsidR="00014319" w:rsidRPr="00014319">
        <w:rPr>
          <w:rFonts w:ascii="Arial Narrow" w:hAnsi="Arial Narrow"/>
          <w:sz w:val="22"/>
          <w:szCs w:val="22"/>
        </w:rPr>
        <w:t>a Junta de Gobierno del Banco de México se reunió en dos ocasiones durante el cuarto trimestre de 2021, el 11 de noviembre y el 16 de diciembre, incrementand</w:t>
      </w:r>
      <w:r>
        <w:rPr>
          <w:rFonts w:ascii="Arial Narrow" w:hAnsi="Arial Narrow"/>
          <w:sz w:val="22"/>
          <w:szCs w:val="22"/>
        </w:rPr>
        <w:t>o la tasa de referencia en 25 puntos base y 50 puntos base</w:t>
      </w:r>
      <w:r w:rsidR="00014319" w:rsidRPr="00014319">
        <w:rPr>
          <w:rFonts w:ascii="Arial Narrow" w:hAnsi="Arial Narrow"/>
          <w:sz w:val="22"/>
          <w:szCs w:val="22"/>
        </w:rPr>
        <w:t>, respectivamente, para cerrar el trimestre en 5.50%. En los comunicados y las minutas, la Junta de Gobierno enfatizó que, por la diversidad, magnitud y el extendido horizonte en el que los choques han afectado a la inflación, esto podría implicar riesgos para la formación de precios y las expectativas de inflación y, a fin de evitar dichos riesgos, se consideró necesario reforzar la postura monetaria, ajustándola a la trayectoria que se requiere para que la inflación converja a su meta de 3.0% en el horizonte de pronóstico</w:t>
      </w:r>
    </w:p>
    <w:p w:rsidR="00F15FD9" w:rsidRPr="00854EB5" w:rsidRDefault="00F15FD9" w:rsidP="00F15FD9">
      <w:pPr>
        <w:pStyle w:val="Sangradetextonormal"/>
        <w:ind w:firstLine="876"/>
        <w:rPr>
          <w:rFonts w:ascii="Arial Narrow" w:hAnsi="Arial Narrow"/>
          <w:sz w:val="16"/>
          <w:szCs w:val="22"/>
        </w:rPr>
      </w:pPr>
    </w:p>
    <w:p w:rsidR="00B83815" w:rsidRPr="00992D26" w:rsidRDefault="00F15FD9" w:rsidP="00B83815">
      <w:pPr>
        <w:pStyle w:val="Sangradetextonormal"/>
        <w:ind w:firstLine="876"/>
        <w:rPr>
          <w:rFonts w:ascii="Arial Narrow" w:hAnsi="Arial Narrow"/>
          <w:sz w:val="22"/>
          <w:szCs w:val="22"/>
        </w:rPr>
      </w:pPr>
      <w:r>
        <w:rPr>
          <w:rFonts w:ascii="Arial Narrow" w:hAnsi="Arial Narrow"/>
          <w:sz w:val="22"/>
          <w:szCs w:val="22"/>
        </w:rPr>
        <w:t xml:space="preserve">En </w:t>
      </w:r>
      <w:r w:rsidR="00854EB5">
        <w:rPr>
          <w:rFonts w:ascii="Arial Narrow" w:hAnsi="Arial Narrow"/>
          <w:sz w:val="22"/>
          <w:szCs w:val="22"/>
        </w:rPr>
        <w:t>el</w:t>
      </w:r>
      <w:r>
        <w:rPr>
          <w:rFonts w:ascii="Arial Narrow" w:hAnsi="Arial Narrow"/>
          <w:sz w:val="22"/>
          <w:szCs w:val="22"/>
        </w:rPr>
        <w:t xml:space="preserve"> último</w:t>
      </w:r>
      <w:r w:rsidRPr="00F15FD9">
        <w:rPr>
          <w:rFonts w:ascii="Arial Narrow" w:hAnsi="Arial Narrow"/>
          <w:sz w:val="22"/>
          <w:szCs w:val="22"/>
        </w:rPr>
        <w:t xml:space="preserve"> anuncio</w:t>
      </w:r>
      <w:r w:rsidR="00854EB5">
        <w:rPr>
          <w:rFonts w:ascii="Arial Narrow" w:hAnsi="Arial Narrow"/>
          <w:sz w:val="22"/>
          <w:szCs w:val="22"/>
        </w:rPr>
        <w:t xml:space="preserve"> </w:t>
      </w:r>
      <w:r w:rsidRPr="00F15FD9">
        <w:rPr>
          <w:rFonts w:ascii="Arial Narrow" w:hAnsi="Arial Narrow"/>
          <w:sz w:val="22"/>
          <w:szCs w:val="22"/>
        </w:rPr>
        <w:t>de política monetaria</w:t>
      </w:r>
      <w:r w:rsidR="00014319">
        <w:rPr>
          <w:rFonts w:ascii="Arial Narrow" w:hAnsi="Arial Narrow"/>
          <w:sz w:val="22"/>
          <w:szCs w:val="22"/>
        </w:rPr>
        <w:t xml:space="preserve"> de 2021 </w:t>
      </w:r>
      <w:r w:rsidR="00854EB5">
        <w:rPr>
          <w:rFonts w:ascii="Arial Narrow" w:hAnsi="Arial Narrow"/>
          <w:sz w:val="22"/>
          <w:szCs w:val="22"/>
        </w:rPr>
        <w:t>de fecha 1</w:t>
      </w:r>
      <w:r w:rsidR="00014319">
        <w:rPr>
          <w:rFonts w:ascii="Arial Narrow" w:hAnsi="Arial Narrow"/>
          <w:sz w:val="22"/>
          <w:szCs w:val="22"/>
        </w:rPr>
        <w:t>6</w:t>
      </w:r>
      <w:r w:rsidR="00854EB5">
        <w:rPr>
          <w:rFonts w:ascii="Arial Narrow" w:hAnsi="Arial Narrow"/>
          <w:sz w:val="22"/>
          <w:szCs w:val="22"/>
        </w:rPr>
        <w:t xml:space="preserve"> de Diciembre de dicho año</w:t>
      </w:r>
      <w:r w:rsidRPr="00F15FD9">
        <w:rPr>
          <w:rFonts w:ascii="Arial Narrow" w:hAnsi="Arial Narrow"/>
          <w:sz w:val="22"/>
          <w:szCs w:val="22"/>
        </w:rPr>
        <w:t>, la Junta de</w:t>
      </w:r>
      <w:r>
        <w:rPr>
          <w:rFonts w:ascii="Arial Narrow" w:hAnsi="Arial Narrow"/>
          <w:sz w:val="22"/>
          <w:szCs w:val="22"/>
        </w:rPr>
        <w:t xml:space="preserve"> </w:t>
      </w:r>
      <w:r w:rsidRPr="00F15FD9">
        <w:rPr>
          <w:rFonts w:ascii="Arial Narrow" w:hAnsi="Arial Narrow"/>
          <w:sz w:val="22"/>
          <w:szCs w:val="22"/>
        </w:rPr>
        <w:t xml:space="preserve">Gobierno del </w:t>
      </w:r>
      <w:r w:rsidR="00854EB5">
        <w:rPr>
          <w:rFonts w:ascii="Arial Narrow" w:hAnsi="Arial Narrow"/>
          <w:sz w:val="22"/>
          <w:szCs w:val="22"/>
        </w:rPr>
        <w:t>Banco de México</w:t>
      </w:r>
      <w:r w:rsidRPr="00F15FD9">
        <w:rPr>
          <w:rFonts w:ascii="Arial Narrow" w:hAnsi="Arial Narrow"/>
          <w:sz w:val="22"/>
          <w:szCs w:val="22"/>
        </w:rPr>
        <w:t xml:space="preserve"> destacó que </w:t>
      </w:r>
      <w:r w:rsidR="00014319">
        <w:rPr>
          <w:rFonts w:ascii="Arial Narrow" w:hAnsi="Arial Narrow"/>
          <w:sz w:val="22"/>
          <w:szCs w:val="22"/>
        </w:rPr>
        <w:t>l</w:t>
      </w:r>
      <w:r w:rsidR="00014319" w:rsidRPr="00014319">
        <w:rPr>
          <w:rFonts w:ascii="Arial Narrow" w:hAnsi="Arial Narrow"/>
          <w:sz w:val="22"/>
          <w:szCs w:val="22"/>
        </w:rPr>
        <w:t>a información disponible muestra un incremento moderado en el crecimiento de la economía mundial</w:t>
      </w:r>
      <w:r w:rsidR="00014319">
        <w:rPr>
          <w:rFonts w:ascii="Arial Narrow" w:hAnsi="Arial Narrow"/>
          <w:sz w:val="22"/>
          <w:szCs w:val="22"/>
        </w:rPr>
        <w:t xml:space="preserve"> </w:t>
      </w:r>
      <w:r w:rsidR="00014319" w:rsidRPr="00014319">
        <w:rPr>
          <w:rFonts w:ascii="Arial Narrow" w:hAnsi="Arial Narrow"/>
          <w:sz w:val="22"/>
          <w:szCs w:val="22"/>
        </w:rPr>
        <w:t>en el cuarto trimestre, con heterogeneidad entre países por la evolución de la pandemia y las acciones</w:t>
      </w:r>
      <w:r w:rsidR="00014319">
        <w:rPr>
          <w:rFonts w:ascii="Arial Narrow" w:hAnsi="Arial Narrow"/>
          <w:sz w:val="22"/>
          <w:szCs w:val="22"/>
        </w:rPr>
        <w:t xml:space="preserve"> </w:t>
      </w:r>
      <w:r w:rsidR="00014319" w:rsidRPr="00014319">
        <w:rPr>
          <w:rFonts w:ascii="Arial Narrow" w:hAnsi="Arial Narrow"/>
          <w:sz w:val="22"/>
          <w:szCs w:val="22"/>
        </w:rPr>
        <w:t>de sus autoridades sanitarias, monetarias y fiscales. La inflación global siguió aumentando, presionada</w:t>
      </w:r>
      <w:r w:rsidR="00014319">
        <w:rPr>
          <w:rFonts w:ascii="Arial Narrow" w:hAnsi="Arial Narrow"/>
          <w:sz w:val="22"/>
          <w:szCs w:val="22"/>
        </w:rPr>
        <w:t xml:space="preserve"> </w:t>
      </w:r>
      <w:r w:rsidR="00014319" w:rsidRPr="00014319">
        <w:rPr>
          <w:rFonts w:ascii="Arial Narrow" w:hAnsi="Arial Narrow"/>
          <w:sz w:val="22"/>
          <w:szCs w:val="22"/>
        </w:rPr>
        <w:t>por los cuellos de botella en la producción, la recomposición del gasto hacia mercancías, los elevados</w:t>
      </w:r>
      <w:r w:rsidR="00014319">
        <w:rPr>
          <w:rFonts w:ascii="Arial Narrow" w:hAnsi="Arial Narrow"/>
          <w:sz w:val="22"/>
          <w:szCs w:val="22"/>
        </w:rPr>
        <w:t xml:space="preserve"> </w:t>
      </w:r>
      <w:r w:rsidR="00014319" w:rsidRPr="00014319">
        <w:rPr>
          <w:rFonts w:ascii="Arial Narrow" w:hAnsi="Arial Narrow"/>
          <w:sz w:val="22"/>
          <w:szCs w:val="22"/>
        </w:rPr>
        <w:t>precios de alimentos y energéticos, y la re</w:t>
      </w:r>
      <w:r w:rsidR="00EE5673">
        <w:rPr>
          <w:rFonts w:ascii="Arial Narrow" w:hAnsi="Arial Narrow"/>
          <w:sz w:val="22"/>
          <w:szCs w:val="22"/>
        </w:rPr>
        <w:t xml:space="preserve">cuperación de algunos servicios, por lo que </w:t>
      </w:r>
      <w:r w:rsidR="00B83815" w:rsidRPr="00992D26">
        <w:rPr>
          <w:rFonts w:ascii="Arial Narrow" w:hAnsi="Arial Narrow"/>
          <w:sz w:val="22"/>
          <w:szCs w:val="22"/>
        </w:rPr>
        <w:t xml:space="preserve">el siguiente cuadro se reportan los resultados de las Decisiones de Política Monetaria </w:t>
      </w:r>
      <w:r w:rsidR="00D03D27">
        <w:rPr>
          <w:rFonts w:ascii="Arial Narrow" w:hAnsi="Arial Narrow"/>
          <w:sz w:val="22"/>
          <w:szCs w:val="22"/>
        </w:rPr>
        <w:t>acontecidas en el Ejerc</w:t>
      </w:r>
      <w:r w:rsidR="008E3E12">
        <w:rPr>
          <w:rFonts w:ascii="Arial Narrow" w:hAnsi="Arial Narrow"/>
          <w:sz w:val="22"/>
          <w:szCs w:val="22"/>
        </w:rPr>
        <w:t>icio 20</w:t>
      </w:r>
      <w:r w:rsidR="00014319">
        <w:rPr>
          <w:rFonts w:ascii="Arial Narrow" w:hAnsi="Arial Narrow"/>
          <w:sz w:val="22"/>
          <w:szCs w:val="22"/>
        </w:rPr>
        <w:t>21</w:t>
      </w:r>
      <w:r w:rsidR="00B83815" w:rsidRPr="00992D26">
        <w:rPr>
          <w:rFonts w:ascii="Arial Narrow" w:hAnsi="Arial Narrow"/>
          <w:sz w:val="22"/>
          <w:szCs w:val="22"/>
        </w:rPr>
        <w:t>:</w:t>
      </w:r>
    </w:p>
    <w:p w:rsidR="00B83815" w:rsidRPr="00992D26" w:rsidRDefault="001804DB" w:rsidP="00B83815">
      <w:pPr>
        <w:pStyle w:val="Sangradetextonormal"/>
        <w:ind w:firstLine="876"/>
        <w:rPr>
          <w:rFonts w:ascii="Arial Narrow" w:hAnsi="Arial Narrow"/>
          <w:sz w:val="25"/>
        </w:rPr>
      </w:pPr>
      <w:r>
        <w:rPr>
          <w:rFonts w:ascii="Arial Narrow" w:hAnsi="Arial Narrow"/>
          <w:noProof/>
          <w:sz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65pt;margin-top:7.15pt;width:452.05pt;height:199.9pt;z-index:252024832;mso-position-horizontal-relative:text;mso-position-vertical-relative:text">
            <v:imagedata r:id="rId9" o:title=""/>
          </v:shape>
          <o:OLEObject Type="Link" ProgID="Excel.Sheet.12" ShapeID="_x0000_s1045" DrawAspect="Content" r:id="rId10" UpdateMode="Always">
            <o:LinkType>EnhancedMetaFile</o:LinkType>
            <o:LockedField>false</o:LockedField>
          </o:OLEObject>
        </w:pict>
      </w:r>
    </w:p>
    <w:p w:rsidR="00B83815" w:rsidRPr="00992D26" w:rsidRDefault="00B83815" w:rsidP="00B83815">
      <w:pPr>
        <w:pStyle w:val="Sangradetextonormal"/>
        <w:ind w:firstLine="876"/>
        <w:rPr>
          <w:rFonts w:ascii="Arial Narrow" w:hAnsi="Arial Narrow"/>
          <w:sz w:val="25"/>
          <w:lang w:val="es-MX"/>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93434D" w:rsidRDefault="00B83815" w:rsidP="00EE5673">
      <w:pPr>
        <w:pStyle w:val="Sangradetextonormal"/>
        <w:ind w:firstLine="876"/>
        <w:rPr>
          <w:rFonts w:ascii="Arial Narrow" w:hAnsi="Arial Narrow"/>
          <w:sz w:val="22"/>
          <w:szCs w:val="22"/>
        </w:rPr>
      </w:pPr>
      <w:r w:rsidRPr="00992D26">
        <w:rPr>
          <w:rFonts w:ascii="Arial Narrow" w:hAnsi="Arial Narrow"/>
          <w:sz w:val="25"/>
        </w:rPr>
        <w:lastRenderedPageBreak/>
        <w:t xml:space="preserve">   </w:t>
      </w:r>
      <w:r w:rsidR="008D30ED">
        <w:rPr>
          <w:rFonts w:ascii="Arial Narrow" w:hAnsi="Arial Narrow"/>
          <w:sz w:val="22"/>
          <w:szCs w:val="22"/>
        </w:rPr>
        <w:t>Por otra parte</w:t>
      </w:r>
      <w:r w:rsidR="008D30ED" w:rsidRPr="008D30ED">
        <w:rPr>
          <w:rFonts w:ascii="Arial Narrow" w:hAnsi="Arial Narrow"/>
          <w:sz w:val="22"/>
          <w:szCs w:val="22"/>
        </w:rPr>
        <w:t xml:space="preserve">, </w:t>
      </w:r>
      <w:r w:rsidR="00EE5673" w:rsidRPr="00EE5673">
        <w:rPr>
          <w:rFonts w:ascii="Arial Narrow" w:hAnsi="Arial Narrow"/>
          <w:sz w:val="22"/>
          <w:szCs w:val="22"/>
        </w:rPr>
        <w:t>al 31 de diciembre de 2021, los rendimientos de los bonos del Gobierno Federal en moneda nacional de 2 años y 10 años se ubicaron en 5.87 y 7.37%, lo cual implicó aumentos de 132 y 14 puntos base (pb), respectivamente desde el cierre del trimestre previo, mientras que aumentaron 284 pb y 203</w:t>
      </w:r>
      <w:r w:rsidR="00EE5673">
        <w:rPr>
          <w:rFonts w:ascii="Arial Narrow" w:hAnsi="Arial Narrow"/>
          <w:sz w:val="22"/>
          <w:szCs w:val="22"/>
        </w:rPr>
        <w:t xml:space="preserve"> pb respecto al cierre de 2020 </w:t>
      </w:r>
      <w:r w:rsidR="00EE5673" w:rsidRPr="00EE5673">
        <w:rPr>
          <w:rFonts w:ascii="Arial Narrow" w:hAnsi="Arial Narrow"/>
          <w:sz w:val="22"/>
          <w:szCs w:val="22"/>
        </w:rPr>
        <w:t>cuando se ubicaron en 4.35% y 5.53% respectivamente.</w:t>
      </w:r>
    </w:p>
    <w:p w:rsidR="00EE5673" w:rsidRDefault="00EE5673" w:rsidP="00EE5673">
      <w:pPr>
        <w:pStyle w:val="Sangradetextonormal"/>
        <w:ind w:firstLine="876"/>
        <w:rPr>
          <w:rFonts w:ascii="Arial Narrow" w:hAnsi="Arial Narrow"/>
          <w:sz w:val="22"/>
          <w:szCs w:val="22"/>
        </w:rPr>
      </w:pPr>
    </w:p>
    <w:p w:rsidR="00B83815" w:rsidRPr="004F5037"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4F5037">
        <w:rPr>
          <w:rFonts w:ascii="Arial Narrow" w:hAnsi="Arial Narrow"/>
          <w:b/>
          <w:bCs/>
          <w:szCs w:val="28"/>
        </w:rPr>
        <w:t xml:space="preserve">Importaciones y Exportaciones </w:t>
      </w:r>
    </w:p>
    <w:p w:rsidR="00B83815" w:rsidRPr="00992D26" w:rsidRDefault="00B83815" w:rsidP="00B83815">
      <w:pPr>
        <w:pStyle w:val="Sangradetextonormal"/>
        <w:ind w:left="539" w:firstLine="0"/>
        <w:jc w:val="left"/>
        <w:rPr>
          <w:rFonts w:ascii="Arial Narrow" w:hAnsi="Arial Narrow"/>
          <w:b/>
          <w:bCs/>
          <w:sz w:val="32"/>
          <w:szCs w:val="32"/>
        </w:rPr>
      </w:pPr>
    </w:p>
    <w:p w:rsidR="00EE5673" w:rsidRDefault="00EE5673" w:rsidP="00EE5673">
      <w:pPr>
        <w:pStyle w:val="Sangradetextonormal"/>
        <w:ind w:firstLine="540"/>
        <w:rPr>
          <w:rFonts w:ascii="Arial Narrow" w:hAnsi="Arial Narrow"/>
          <w:sz w:val="22"/>
          <w:szCs w:val="22"/>
        </w:rPr>
      </w:pPr>
      <w:r>
        <w:rPr>
          <w:rFonts w:ascii="Arial Narrow" w:hAnsi="Arial Narrow"/>
          <w:sz w:val="22"/>
          <w:szCs w:val="22"/>
        </w:rPr>
        <w:t>A</w:t>
      </w:r>
      <w:r w:rsidRPr="00EE5673">
        <w:rPr>
          <w:rFonts w:ascii="Arial Narrow" w:hAnsi="Arial Narrow"/>
          <w:sz w:val="22"/>
          <w:szCs w:val="22"/>
        </w:rPr>
        <w:t>l cuarto trimestre de 2021 el valor de las exportaciones mexicanas continuó creciendo por arriba de los niveles pre-pandemia. Así, tal valor aumentó 6.0% con respecto al tercer trimestre de 2021 con datos ajustados por estacionalidad, de modo que en enero-diciembre de 2021 alcanzó un máximo histórico de 494 mil 225 millones de dólares y creció 18.5% respecto al mismo periodo del año anterior.</w:t>
      </w:r>
    </w:p>
    <w:p w:rsidR="00EE5673" w:rsidRPr="00EE5673" w:rsidRDefault="00EE5673" w:rsidP="00EE5673">
      <w:pPr>
        <w:pStyle w:val="Sangradetextonormal"/>
        <w:ind w:firstLine="540"/>
        <w:rPr>
          <w:rFonts w:ascii="Arial Narrow" w:hAnsi="Arial Narrow"/>
          <w:sz w:val="22"/>
          <w:szCs w:val="22"/>
        </w:rPr>
      </w:pPr>
    </w:p>
    <w:p w:rsidR="00DA160D" w:rsidRDefault="00EE5673" w:rsidP="00EE5673">
      <w:pPr>
        <w:pStyle w:val="Sangradetextonormal"/>
        <w:ind w:firstLine="540"/>
        <w:rPr>
          <w:rFonts w:ascii="Arial Narrow" w:hAnsi="Arial Narrow"/>
          <w:sz w:val="22"/>
          <w:szCs w:val="22"/>
        </w:rPr>
      </w:pPr>
      <w:r w:rsidRPr="00EE5673">
        <w:rPr>
          <w:rFonts w:ascii="Arial Narrow" w:hAnsi="Arial Narrow"/>
          <w:sz w:val="22"/>
          <w:szCs w:val="22"/>
        </w:rPr>
        <w:t>Por su parte, el valor de las exportaciones no petroleras aumentó 6.1%</w:t>
      </w:r>
      <w:r>
        <w:rPr>
          <w:rFonts w:ascii="Arial Narrow" w:hAnsi="Arial Narrow"/>
          <w:sz w:val="22"/>
          <w:szCs w:val="22"/>
        </w:rPr>
        <w:t xml:space="preserve"> en el cuarto trimestre de 2021 </w:t>
      </w:r>
      <w:r w:rsidRPr="00EE5673">
        <w:rPr>
          <w:rFonts w:ascii="Arial Narrow" w:hAnsi="Arial Narrow"/>
          <w:sz w:val="22"/>
          <w:szCs w:val="22"/>
        </w:rPr>
        <w:t>con respecto al trimestre previo, con ajuste estacional y en 2021 acumuló un crecimiento anual de 16.5%.</w:t>
      </w:r>
    </w:p>
    <w:p w:rsidR="00DA160D" w:rsidRDefault="00DA160D" w:rsidP="00EE5673">
      <w:pPr>
        <w:pStyle w:val="Sangradetextonormal"/>
        <w:ind w:firstLine="540"/>
        <w:rPr>
          <w:rFonts w:ascii="Arial Narrow" w:hAnsi="Arial Narrow"/>
          <w:sz w:val="22"/>
          <w:szCs w:val="22"/>
        </w:rPr>
      </w:pPr>
    </w:p>
    <w:p w:rsidR="00EE5673" w:rsidRDefault="00EE5673" w:rsidP="00EE5673">
      <w:pPr>
        <w:pStyle w:val="Sangradetextonormal"/>
        <w:ind w:firstLine="540"/>
        <w:rPr>
          <w:rFonts w:ascii="Arial Narrow" w:hAnsi="Arial Narrow"/>
          <w:sz w:val="22"/>
          <w:szCs w:val="22"/>
        </w:rPr>
      </w:pPr>
      <w:r w:rsidRPr="00EE5673">
        <w:rPr>
          <w:rFonts w:ascii="Arial Narrow" w:hAnsi="Arial Narrow"/>
          <w:sz w:val="22"/>
          <w:szCs w:val="22"/>
        </w:rPr>
        <w:t xml:space="preserve"> Al interior de las exportaciones no petroleras, el valor de las exportaciones extractivas y manufactureras aumentaron 6.6 y 6.4%, respectivamente en el cuarto trimestre; mientras que el valor de las agropecuarias disminuyó en 0.1%. Cabe destacar que, dentro de las manufactureras, el valor de las exportaciones automotrices aceleró su recuperación con un avance de 12.1% en el cuarto trimestre de 2021, en tanto, el valor de las exportaciones no automotrices aumentó en 4.0%.</w:t>
      </w:r>
    </w:p>
    <w:p w:rsidR="00EE5673" w:rsidRPr="00EE5673" w:rsidRDefault="00EE5673" w:rsidP="00EE5673">
      <w:pPr>
        <w:pStyle w:val="Sangradetextonormal"/>
        <w:ind w:firstLine="540"/>
        <w:rPr>
          <w:rFonts w:ascii="Arial Narrow" w:hAnsi="Arial Narrow"/>
          <w:sz w:val="22"/>
          <w:szCs w:val="22"/>
        </w:rPr>
      </w:pPr>
    </w:p>
    <w:p w:rsidR="00DA160D" w:rsidRDefault="00EE5673" w:rsidP="00EE5673">
      <w:pPr>
        <w:pStyle w:val="Sangradetextonormal"/>
        <w:ind w:firstLine="540"/>
        <w:rPr>
          <w:rFonts w:ascii="Arial Narrow" w:hAnsi="Arial Narrow"/>
          <w:sz w:val="22"/>
          <w:szCs w:val="22"/>
        </w:rPr>
      </w:pPr>
      <w:r w:rsidRPr="00EE5673">
        <w:rPr>
          <w:rFonts w:ascii="Arial Narrow" w:hAnsi="Arial Narrow"/>
          <w:sz w:val="22"/>
          <w:szCs w:val="22"/>
        </w:rPr>
        <w:t xml:space="preserve">Por </w:t>
      </w:r>
      <w:r>
        <w:rPr>
          <w:rFonts w:ascii="Arial Narrow" w:hAnsi="Arial Narrow"/>
          <w:sz w:val="22"/>
          <w:szCs w:val="22"/>
        </w:rPr>
        <w:t>otro lado</w:t>
      </w:r>
      <w:r w:rsidRPr="00EE5673">
        <w:rPr>
          <w:rFonts w:ascii="Arial Narrow" w:hAnsi="Arial Narrow"/>
          <w:sz w:val="22"/>
          <w:szCs w:val="22"/>
        </w:rPr>
        <w:t xml:space="preserve">, el valor de las exportaciones petroleras aumentó en el cuarto trimestre 3.5% con respecto al trimestre anterior, una vez que se toma en cuenta la estacionalidad. El incremento de este rubro fue consecuencia del crecimiento de las exportaciones de otros productos petroleros en 33.1% con respecto al trimestre previo, en tanto que las exportaciones de crudo disminuyeron 2.3%. </w:t>
      </w:r>
    </w:p>
    <w:p w:rsidR="00DA160D" w:rsidRDefault="00DA160D" w:rsidP="00EE5673">
      <w:pPr>
        <w:pStyle w:val="Sangradetextonormal"/>
        <w:ind w:firstLine="540"/>
        <w:rPr>
          <w:rFonts w:ascii="Arial Narrow" w:hAnsi="Arial Narrow"/>
          <w:sz w:val="22"/>
          <w:szCs w:val="22"/>
        </w:rPr>
      </w:pPr>
    </w:p>
    <w:p w:rsidR="00EE5673" w:rsidRDefault="00DA160D" w:rsidP="00EE5673">
      <w:pPr>
        <w:pStyle w:val="Sangradetextonormal"/>
        <w:ind w:firstLine="540"/>
        <w:rPr>
          <w:rFonts w:ascii="Arial Narrow" w:hAnsi="Arial Narrow"/>
          <w:sz w:val="22"/>
          <w:szCs w:val="22"/>
        </w:rPr>
      </w:pPr>
      <w:r>
        <w:rPr>
          <w:rFonts w:ascii="Arial Narrow" w:hAnsi="Arial Narrow"/>
          <w:sz w:val="22"/>
          <w:szCs w:val="22"/>
        </w:rPr>
        <w:lastRenderedPageBreak/>
        <w:t>Así mismo, cabe agregar</w:t>
      </w:r>
      <w:r w:rsidR="00EE5673" w:rsidRPr="00EE5673">
        <w:rPr>
          <w:rFonts w:ascii="Arial Narrow" w:hAnsi="Arial Narrow"/>
          <w:sz w:val="22"/>
          <w:szCs w:val="22"/>
        </w:rPr>
        <w:t xml:space="preserve"> que el precio de la mezcla mexicana de exportación, pasó de un promedio de 68.37 dólares por barril en el tercer trimestre de 2021 a 72.30 dólares en el cuarto trimestre de 2021; mientras que el volumen exportado de crudo pasó de 1,084 a 999 miles de barriles diarios.</w:t>
      </w:r>
    </w:p>
    <w:p w:rsidR="00EE5673" w:rsidRPr="00EE5673" w:rsidRDefault="00EE5673" w:rsidP="00EE5673">
      <w:pPr>
        <w:pStyle w:val="Sangradetextonormal"/>
        <w:ind w:firstLine="540"/>
        <w:rPr>
          <w:rFonts w:ascii="Arial Narrow" w:hAnsi="Arial Narrow"/>
          <w:sz w:val="22"/>
          <w:szCs w:val="22"/>
        </w:rPr>
      </w:pPr>
    </w:p>
    <w:p w:rsidR="00DA160D" w:rsidRDefault="00EE5673" w:rsidP="00EE5673">
      <w:pPr>
        <w:pStyle w:val="Sangradetextonormal"/>
        <w:ind w:firstLine="540"/>
        <w:rPr>
          <w:rFonts w:ascii="Arial Narrow" w:hAnsi="Arial Narrow"/>
          <w:sz w:val="22"/>
          <w:szCs w:val="22"/>
        </w:rPr>
      </w:pPr>
      <w:r w:rsidRPr="00EE5673">
        <w:rPr>
          <w:rFonts w:ascii="Arial Narrow" w:hAnsi="Arial Narrow"/>
          <w:sz w:val="22"/>
          <w:szCs w:val="22"/>
        </w:rPr>
        <w:t>A</w:t>
      </w:r>
      <w:r w:rsidR="00DA160D">
        <w:rPr>
          <w:rFonts w:ascii="Arial Narrow" w:hAnsi="Arial Narrow"/>
          <w:sz w:val="22"/>
          <w:szCs w:val="22"/>
        </w:rPr>
        <w:t>dicionalmente</w:t>
      </w:r>
      <w:r w:rsidRPr="00EE5673">
        <w:rPr>
          <w:rFonts w:ascii="Arial Narrow" w:hAnsi="Arial Narrow"/>
          <w:sz w:val="22"/>
          <w:szCs w:val="22"/>
        </w:rPr>
        <w:t xml:space="preserve">, el valor de las importaciones totales registró un crecimiento de 2.5% respecto al trimestre anterior, debido al crecimiento de las importaciones no petroleras (3.0%), mientras que disminuyeron las importaciones petroleras (-2.0%). </w:t>
      </w:r>
    </w:p>
    <w:p w:rsidR="00DA160D" w:rsidRDefault="00DA160D" w:rsidP="00EE5673">
      <w:pPr>
        <w:pStyle w:val="Sangradetextonormal"/>
        <w:ind w:firstLine="540"/>
        <w:rPr>
          <w:rFonts w:ascii="Arial Narrow" w:hAnsi="Arial Narrow"/>
          <w:sz w:val="22"/>
          <w:szCs w:val="22"/>
        </w:rPr>
      </w:pPr>
    </w:p>
    <w:p w:rsidR="00DA160D" w:rsidRDefault="00EE5673" w:rsidP="00EE5673">
      <w:pPr>
        <w:pStyle w:val="Sangradetextonormal"/>
        <w:ind w:firstLine="540"/>
        <w:rPr>
          <w:rFonts w:ascii="Arial Narrow" w:hAnsi="Arial Narrow"/>
          <w:sz w:val="22"/>
          <w:szCs w:val="22"/>
        </w:rPr>
      </w:pPr>
      <w:r w:rsidRPr="00EE5673">
        <w:rPr>
          <w:rFonts w:ascii="Arial Narrow" w:hAnsi="Arial Narrow"/>
          <w:sz w:val="22"/>
          <w:szCs w:val="22"/>
        </w:rPr>
        <w:t xml:space="preserve">Al interior de las importaciones no petroleras, crecieron las de bienes intermedios 2.8%, las de consumo 4.6% y las de capital 3.4%, con respecto al trimestre anterior. </w:t>
      </w:r>
    </w:p>
    <w:p w:rsidR="00DA160D" w:rsidRDefault="00DA160D" w:rsidP="00EE5673">
      <w:pPr>
        <w:pStyle w:val="Sangradetextonormal"/>
        <w:ind w:firstLine="540"/>
        <w:rPr>
          <w:rFonts w:ascii="Arial Narrow" w:hAnsi="Arial Narrow"/>
          <w:sz w:val="22"/>
          <w:szCs w:val="22"/>
        </w:rPr>
      </w:pPr>
    </w:p>
    <w:p w:rsidR="004355A6" w:rsidRDefault="00DA160D" w:rsidP="00EE5673">
      <w:pPr>
        <w:pStyle w:val="Sangradetextonormal"/>
        <w:ind w:firstLine="540"/>
        <w:rPr>
          <w:rFonts w:ascii="Arial Narrow" w:hAnsi="Arial Narrow"/>
          <w:sz w:val="22"/>
          <w:szCs w:val="22"/>
        </w:rPr>
      </w:pPr>
      <w:r>
        <w:rPr>
          <w:rFonts w:ascii="Arial Narrow" w:hAnsi="Arial Narrow"/>
          <w:sz w:val="22"/>
          <w:szCs w:val="22"/>
        </w:rPr>
        <w:t xml:space="preserve">Finalmente, es de </w:t>
      </w:r>
      <w:r w:rsidR="00EE5673" w:rsidRPr="00EE5673">
        <w:rPr>
          <w:rFonts w:ascii="Arial Narrow" w:hAnsi="Arial Narrow"/>
          <w:sz w:val="22"/>
          <w:szCs w:val="22"/>
        </w:rPr>
        <w:t>destacar que durante al cuarto trimestre de 2021 el valor total de las importaciones registra crecimientos sostenidos por seis trimestres consecutivos, con datos ajustados por estacionalidad, en línea con la recuperación de la demanda interna.</w:t>
      </w:r>
    </w:p>
    <w:p w:rsidR="00EE5673" w:rsidRDefault="00EE5673" w:rsidP="0093434D">
      <w:pPr>
        <w:pStyle w:val="Sangradetextonormal"/>
        <w:ind w:firstLine="540"/>
        <w:rPr>
          <w:rFonts w:ascii="Arial Narrow" w:hAnsi="Arial Narrow"/>
          <w:sz w:val="22"/>
          <w:szCs w:val="22"/>
        </w:rPr>
      </w:pPr>
    </w:p>
    <w:p w:rsidR="00B83815" w:rsidRPr="002C3B5A"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2C3B5A">
        <w:rPr>
          <w:rFonts w:ascii="Arial Narrow" w:hAnsi="Arial Narrow"/>
          <w:b/>
          <w:bCs/>
          <w:szCs w:val="28"/>
        </w:rPr>
        <w:t>Tipo de Cambio</w:t>
      </w:r>
    </w:p>
    <w:p w:rsidR="00B83815" w:rsidRPr="00992D26" w:rsidRDefault="00B83815" w:rsidP="00B83815">
      <w:pPr>
        <w:pStyle w:val="Sangradetextonormal"/>
        <w:ind w:left="540" w:firstLine="0"/>
        <w:jc w:val="left"/>
        <w:rPr>
          <w:rFonts w:ascii="Arial Narrow" w:hAnsi="Arial Narrow"/>
          <w:b/>
          <w:bCs/>
          <w:sz w:val="32"/>
          <w:szCs w:val="32"/>
        </w:rPr>
      </w:pPr>
    </w:p>
    <w:p w:rsidR="009B0C14" w:rsidRDefault="0089028F" w:rsidP="0089028F">
      <w:pPr>
        <w:pStyle w:val="Sangradetextonormal"/>
        <w:ind w:firstLine="876"/>
        <w:rPr>
          <w:rFonts w:ascii="Arial Narrow" w:hAnsi="Arial Narrow"/>
          <w:sz w:val="22"/>
          <w:szCs w:val="22"/>
        </w:rPr>
      </w:pPr>
      <w:r>
        <w:rPr>
          <w:rFonts w:ascii="Arial Narrow" w:hAnsi="Arial Narrow"/>
          <w:sz w:val="22"/>
          <w:szCs w:val="22"/>
        </w:rPr>
        <w:t>E</w:t>
      </w:r>
      <w:r w:rsidRPr="0089028F">
        <w:rPr>
          <w:rFonts w:ascii="Arial Narrow" w:hAnsi="Arial Narrow"/>
          <w:sz w:val="22"/>
          <w:szCs w:val="22"/>
        </w:rPr>
        <w:t>l peso mexicano presentó una apreciación durante el cuarto trimestre de 0.54% respecto al trimestre previo. Por tanto, al cierre de diciembre, se ubicó en 20.53 pesos por dólar. Mientras tanto, la volatilidad implícita del peso mexicano a un mes cerró</w:t>
      </w:r>
      <w:r>
        <w:rPr>
          <w:rFonts w:ascii="Arial Narrow" w:hAnsi="Arial Narrow"/>
          <w:sz w:val="22"/>
          <w:szCs w:val="22"/>
        </w:rPr>
        <w:t xml:space="preserve"> </w:t>
      </w:r>
      <w:r w:rsidRPr="0089028F">
        <w:rPr>
          <w:rFonts w:ascii="Arial Narrow" w:hAnsi="Arial Narrow"/>
          <w:sz w:val="22"/>
          <w:szCs w:val="22"/>
        </w:rPr>
        <w:t>el cuarto trimestre en 11.02%, esto es 3.92 y 0.07 puntos porcentuales (pp) por abajo del peor nivel alcanzado en el cuarto trimestre y respecto al cierre del tercer trimestre.</w:t>
      </w:r>
      <w:r>
        <w:rPr>
          <w:rFonts w:ascii="Arial Narrow" w:hAnsi="Arial Narrow"/>
          <w:sz w:val="22"/>
          <w:szCs w:val="22"/>
        </w:rPr>
        <w:t xml:space="preserve"> </w:t>
      </w:r>
    </w:p>
    <w:p w:rsidR="00C031E2" w:rsidRPr="00FA4D4A" w:rsidRDefault="00C031E2" w:rsidP="00C031E2">
      <w:pPr>
        <w:pStyle w:val="Sangradetextonormal"/>
        <w:ind w:firstLine="876"/>
        <w:rPr>
          <w:rFonts w:ascii="Arial Narrow" w:hAnsi="Arial Narrow"/>
          <w:sz w:val="22"/>
          <w:szCs w:val="22"/>
        </w:rPr>
      </w:pPr>
    </w:p>
    <w:p w:rsidR="00B83815" w:rsidRPr="00236348"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236348">
        <w:rPr>
          <w:rFonts w:ascii="Arial Narrow" w:hAnsi="Arial Narrow"/>
          <w:b/>
          <w:bCs/>
          <w:szCs w:val="28"/>
        </w:rPr>
        <w:t>Salarios</w:t>
      </w:r>
    </w:p>
    <w:p w:rsidR="00B83815" w:rsidRPr="00992D26" w:rsidRDefault="00B83815" w:rsidP="00B83815">
      <w:pPr>
        <w:pStyle w:val="Sangradetextonormal"/>
        <w:ind w:left="540" w:firstLine="0"/>
        <w:jc w:val="left"/>
        <w:rPr>
          <w:rFonts w:ascii="Arial Narrow" w:hAnsi="Arial Narrow"/>
          <w:b/>
          <w:bCs/>
          <w:sz w:val="32"/>
          <w:szCs w:val="32"/>
        </w:rPr>
      </w:pPr>
    </w:p>
    <w:p w:rsidR="00645711" w:rsidRPr="00F838A0" w:rsidRDefault="0089028F" w:rsidP="00645711">
      <w:pPr>
        <w:pStyle w:val="Sangradetextonormal"/>
        <w:ind w:firstLine="876"/>
        <w:rPr>
          <w:rFonts w:ascii="Arial Narrow" w:hAnsi="Arial Narrow"/>
          <w:sz w:val="22"/>
          <w:szCs w:val="22"/>
        </w:rPr>
      </w:pPr>
      <w:r w:rsidRPr="00F838A0">
        <w:rPr>
          <w:rFonts w:ascii="Arial Narrow" w:hAnsi="Arial Narrow"/>
          <w:sz w:val="22"/>
          <w:szCs w:val="22"/>
        </w:rPr>
        <w:t xml:space="preserve">En cuanto al salario promedio de cotización del Instituto Mexicano del Seguro Social (IMSS), en el cuarto trimestre de 2021 registró un crecimiento nominal de 7.5% anual y se ubicó en $435.4 diarios. Lo anterior </w:t>
      </w:r>
      <w:r w:rsidRPr="00F838A0">
        <w:rPr>
          <w:rFonts w:ascii="Arial Narrow" w:hAnsi="Arial Narrow"/>
          <w:sz w:val="22"/>
          <w:szCs w:val="22"/>
        </w:rPr>
        <w:lastRenderedPageBreak/>
        <w:t>representó un aumento nominal anual de $30.3 diarios y un crecimiento anual de 0.4% en términos reales. Mientras tanto, los salarios contractuales de jurisdicción federal registraron un incremento nominal anual promedio de 4.2%, inferior en 0.5 pp al incremento nominal del tercer trimestre, lo que implicó que en términos reales disminuyeron 2.0% promedio en el último trimestre de 2021, 0.9 pp menos que el trimestre previo.</w:t>
      </w:r>
    </w:p>
    <w:p w:rsidR="0089028F" w:rsidRDefault="0089028F" w:rsidP="00645711">
      <w:pPr>
        <w:pStyle w:val="Sangradetextonormal"/>
        <w:ind w:firstLine="876"/>
        <w:rPr>
          <w:rFonts w:ascii="Arial Narrow" w:hAnsi="Arial Narrow"/>
          <w:sz w:val="25"/>
        </w:rPr>
      </w:pPr>
    </w:p>
    <w:p w:rsidR="00B83815" w:rsidRPr="00E05E72"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E05E72">
        <w:rPr>
          <w:rFonts w:ascii="Arial Narrow" w:hAnsi="Arial Narrow"/>
          <w:b/>
          <w:bCs/>
          <w:szCs w:val="28"/>
        </w:rPr>
        <w:t>Déficit Público</w:t>
      </w:r>
    </w:p>
    <w:p w:rsidR="00B83815" w:rsidRPr="00992D26" w:rsidRDefault="00B83815" w:rsidP="00F759B1">
      <w:pPr>
        <w:pStyle w:val="Sangradetextonormal"/>
        <w:spacing w:line="240" w:lineRule="auto"/>
        <w:ind w:left="539" w:firstLine="0"/>
        <w:jc w:val="left"/>
        <w:rPr>
          <w:rFonts w:ascii="Arial Narrow" w:hAnsi="Arial Narrow"/>
          <w:b/>
          <w:bCs/>
          <w:sz w:val="32"/>
          <w:szCs w:val="32"/>
        </w:rPr>
      </w:pPr>
    </w:p>
    <w:p w:rsidR="00DA160D" w:rsidRDefault="00305880" w:rsidP="001F14C4">
      <w:pPr>
        <w:pStyle w:val="Sangradetextonormal"/>
        <w:ind w:firstLine="876"/>
        <w:rPr>
          <w:rFonts w:ascii="Arial Narrow" w:hAnsi="Arial Narrow"/>
          <w:sz w:val="22"/>
          <w:szCs w:val="22"/>
        </w:rPr>
      </w:pPr>
      <w:r>
        <w:rPr>
          <w:rFonts w:ascii="Arial Narrow" w:hAnsi="Arial Narrow"/>
          <w:sz w:val="22"/>
          <w:szCs w:val="22"/>
        </w:rPr>
        <w:t>Durante 20</w:t>
      </w:r>
      <w:r w:rsidR="001F14C4">
        <w:rPr>
          <w:rFonts w:ascii="Arial Narrow" w:hAnsi="Arial Narrow"/>
          <w:sz w:val="22"/>
          <w:szCs w:val="22"/>
        </w:rPr>
        <w:t xml:space="preserve">21, </w:t>
      </w:r>
      <w:r w:rsidR="008B3489" w:rsidRPr="008B3489">
        <w:rPr>
          <w:rFonts w:ascii="Arial Narrow" w:hAnsi="Arial Narrow"/>
          <w:sz w:val="22"/>
          <w:szCs w:val="22"/>
        </w:rPr>
        <w:t>el déficit del Sector Público se ubicó en 757 mil 790 millone</w:t>
      </w:r>
      <w:r w:rsidR="003940B8">
        <w:rPr>
          <w:rFonts w:ascii="Arial Narrow" w:hAnsi="Arial Narrow"/>
          <w:sz w:val="22"/>
          <w:szCs w:val="22"/>
        </w:rPr>
        <w:t>s de pesos, equivalente al 2.9%</w:t>
      </w:r>
      <w:r w:rsidR="008B3489" w:rsidRPr="008B3489">
        <w:rPr>
          <w:rFonts w:ascii="Arial Narrow" w:hAnsi="Arial Narrow"/>
          <w:sz w:val="22"/>
          <w:szCs w:val="22"/>
        </w:rPr>
        <w:t xml:space="preserve"> del PIB, igual a lo planteado originalmente en el Paquete Económico 2021 y a lo observado en 2020</w:t>
      </w:r>
      <w:r w:rsidR="008B3489">
        <w:rPr>
          <w:rFonts w:ascii="Arial Narrow" w:hAnsi="Arial Narrow"/>
          <w:sz w:val="22"/>
          <w:szCs w:val="22"/>
        </w:rPr>
        <w:t>, por lo que el</w:t>
      </w:r>
      <w:r w:rsidR="001F14C4" w:rsidRPr="001F14C4">
        <w:rPr>
          <w:rFonts w:ascii="Arial Narrow" w:hAnsi="Arial Narrow"/>
          <w:sz w:val="22"/>
          <w:szCs w:val="22"/>
        </w:rPr>
        <w:t xml:space="preserve"> balance público presupuestario sin la inversión del Gobierno Federal y de las Empresas Productivas del Est</w:t>
      </w:r>
      <w:r w:rsidR="001F14C4">
        <w:rPr>
          <w:rFonts w:ascii="Arial Narrow" w:hAnsi="Arial Narrow"/>
          <w:sz w:val="22"/>
          <w:szCs w:val="22"/>
        </w:rPr>
        <w:t>ado (Pemex y CFE) hasta el 2.2%</w:t>
      </w:r>
      <w:r w:rsidR="001F14C4" w:rsidRPr="001F14C4">
        <w:rPr>
          <w:rFonts w:ascii="Arial Narrow" w:hAnsi="Arial Narrow"/>
          <w:sz w:val="22"/>
          <w:szCs w:val="22"/>
        </w:rPr>
        <w:t xml:space="preserve"> del PIB, registró un déficit de 181 mil 429 millones de pesos.</w:t>
      </w:r>
    </w:p>
    <w:p w:rsidR="00DA160D" w:rsidRDefault="00DA160D" w:rsidP="001F14C4">
      <w:pPr>
        <w:pStyle w:val="Sangradetextonormal"/>
        <w:ind w:firstLine="876"/>
        <w:rPr>
          <w:rFonts w:ascii="Arial Narrow" w:hAnsi="Arial Narrow"/>
          <w:sz w:val="22"/>
          <w:szCs w:val="22"/>
        </w:rPr>
      </w:pPr>
    </w:p>
    <w:p w:rsidR="00AB60C4" w:rsidRDefault="00DA160D" w:rsidP="001F14C4">
      <w:pPr>
        <w:pStyle w:val="Sangradetextonormal"/>
        <w:ind w:firstLine="876"/>
        <w:rPr>
          <w:rFonts w:ascii="Arial Narrow" w:hAnsi="Arial Narrow"/>
          <w:sz w:val="22"/>
          <w:szCs w:val="22"/>
        </w:rPr>
      </w:pPr>
      <w:r>
        <w:rPr>
          <w:rFonts w:ascii="Arial Narrow" w:hAnsi="Arial Narrow"/>
          <w:sz w:val="22"/>
          <w:szCs w:val="22"/>
        </w:rPr>
        <w:t xml:space="preserve"> Dicha</w:t>
      </w:r>
      <w:r w:rsidR="001F14C4" w:rsidRPr="001F14C4">
        <w:rPr>
          <w:rFonts w:ascii="Arial Narrow" w:hAnsi="Arial Narrow"/>
          <w:sz w:val="22"/>
          <w:szCs w:val="22"/>
        </w:rPr>
        <w:t xml:space="preserve"> cifra es considerablemente menor que el déficit máximo permitido por la normatividad de 237 mil 656 millones de pesos, considerando el margen establecido en el Reglamento de la Ley Federal de Presupuesto y Responsabilidad Hacendaria, igual a 1.0% del gasto neto total aprobado. </w:t>
      </w:r>
    </w:p>
    <w:p w:rsidR="00AB60C4" w:rsidRDefault="00AB60C4" w:rsidP="001F14C4">
      <w:pPr>
        <w:pStyle w:val="Sangradetextonormal"/>
        <w:ind w:firstLine="876"/>
        <w:rPr>
          <w:rFonts w:ascii="Arial Narrow" w:hAnsi="Arial Narrow"/>
          <w:sz w:val="22"/>
          <w:szCs w:val="22"/>
        </w:rPr>
      </w:pPr>
    </w:p>
    <w:p w:rsidR="001F14C4" w:rsidRDefault="001F14C4" w:rsidP="001F14C4">
      <w:pPr>
        <w:pStyle w:val="Sangradetextonormal"/>
        <w:ind w:firstLine="876"/>
        <w:rPr>
          <w:rFonts w:ascii="Arial Narrow" w:hAnsi="Arial Narrow"/>
          <w:sz w:val="22"/>
          <w:szCs w:val="22"/>
        </w:rPr>
      </w:pPr>
      <w:r w:rsidRPr="001F14C4">
        <w:rPr>
          <w:rFonts w:ascii="Arial Narrow" w:hAnsi="Arial Narrow"/>
          <w:sz w:val="22"/>
          <w:szCs w:val="22"/>
        </w:rPr>
        <w:t>Como porcentaje del PIB, el déficit presupuestario, excluyendo inversión, se ubicó en 0.7%, igual al previsto en el Paquete Económico 2021, a pesar de las condiciones adversas por la pandemia del COVID-19 y climáticas presentadas durante 2021, dentro de un contexto de reactivación económica.</w:t>
      </w:r>
    </w:p>
    <w:p w:rsidR="001F14C4" w:rsidRPr="001F14C4" w:rsidRDefault="001F14C4" w:rsidP="001F14C4">
      <w:pPr>
        <w:pStyle w:val="Sangradetextonormal"/>
        <w:ind w:firstLine="876"/>
        <w:rPr>
          <w:rFonts w:ascii="Arial Narrow" w:hAnsi="Arial Narrow"/>
          <w:sz w:val="22"/>
          <w:szCs w:val="22"/>
        </w:rPr>
      </w:pPr>
    </w:p>
    <w:p w:rsidR="0089028F" w:rsidRDefault="001F14C4" w:rsidP="001F14C4">
      <w:pPr>
        <w:pStyle w:val="Sangradetextonormal"/>
        <w:ind w:firstLine="876"/>
        <w:rPr>
          <w:rFonts w:ascii="Arial Narrow" w:hAnsi="Arial Narrow"/>
          <w:sz w:val="22"/>
          <w:szCs w:val="22"/>
        </w:rPr>
      </w:pPr>
      <w:r w:rsidRPr="001F14C4">
        <w:rPr>
          <w:rFonts w:ascii="Arial Narrow" w:hAnsi="Arial Narrow"/>
          <w:sz w:val="22"/>
          <w:szCs w:val="22"/>
        </w:rPr>
        <w:t>Al interior, el balance público del Sector Público Presupuestario compuesto por los déficits registrados del Gobierno Federal y de la CFE, de 824 mil 301 millones de pesos y 60 mil 540 millones pesos, respectivamente, fueron compensados parcialmente con los superávits de Pemex de 65 mil 336 millones de pesos, de los organismos de control presupuestario directo (IMSS e ISSSTE) de 41 mil 561 millones de pesos y de las entidades bajo control presupuestario indirecto de 20 mil 154 millones de pesos.</w:t>
      </w:r>
    </w:p>
    <w:p w:rsidR="0089028F" w:rsidRDefault="0089028F" w:rsidP="0089028F">
      <w:pPr>
        <w:pStyle w:val="Sangradetextonormal"/>
        <w:ind w:firstLine="876"/>
        <w:rPr>
          <w:rFonts w:ascii="Arial Narrow" w:hAnsi="Arial Narrow"/>
          <w:sz w:val="22"/>
          <w:szCs w:val="22"/>
        </w:rPr>
      </w:pPr>
    </w:p>
    <w:p w:rsidR="00DA160D" w:rsidRDefault="00DA160D" w:rsidP="0089028F">
      <w:pPr>
        <w:pStyle w:val="Sangradetextonormal"/>
        <w:ind w:firstLine="876"/>
        <w:rPr>
          <w:rFonts w:ascii="Arial Narrow" w:hAnsi="Arial Narrow"/>
          <w:sz w:val="22"/>
          <w:szCs w:val="22"/>
        </w:rPr>
      </w:pPr>
    </w:p>
    <w:p w:rsidR="00DA160D" w:rsidRDefault="00DA160D" w:rsidP="0089028F">
      <w:pPr>
        <w:pStyle w:val="Sangradetextonormal"/>
        <w:ind w:firstLine="876"/>
        <w:rPr>
          <w:rFonts w:ascii="Arial Narrow" w:hAnsi="Arial Narrow"/>
          <w:sz w:val="22"/>
          <w:szCs w:val="22"/>
        </w:rPr>
      </w:pPr>
    </w:p>
    <w:p w:rsidR="00B83815" w:rsidRPr="003C2415" w:rsidRDefault="00B83815" w:rsidP="00B83815">
      <w:pPr>
        <w:pStyle w:val="Sangradetextonormal"/>
        <w:spacing w:line="240" w:lineRule="auto"/>
        <w:ind w:firstLine="0"/>
        <w:jc w:val="left"/>
        <w:rPr>
          <w:rFonts w:ascii="Arial Narrow" w:hAnsi="Arial Narrow"/>
          <w:b/>
          <w:bCs/>
          <w:szCs w:val="28"/>
        </w:rPr>
      </w:pPr>
      <w:r w:rsidRPr="003C2415">
        <w:rPr>
          <w:rFonts w:ascii="Arial Narrow" w:hAnsi="Arial Narrow"/>
          <w:b/>
          <w:bCs/>
          <w:szCs w:val="28"/>
        </w:rPr>
        <w:lastRenderedPageBreak/>
        <w:t>2.1.1.3.- Postura Fiscal</w:t>
      </w:r>
    </w:p>
    <w:p w:rsidR="00B83815" w:rsidRPr="00A9560D" w:rsidRDefault="00B83815" w:rsidP="00B83815">
      <w:pPr>
        <w:pStyle w:val="Sangradetextonormal"/>
        <w:spacing w:line="240" w:lineRule="auto"/>
        <w:ind w:firstLine="0"/>
        <w:jc w:val="left"/>
        <w:rPr>
          <w:rFonts w:ascii="Arial Narrow" w:hAnsi="Arial Narrow"/>
          <w:b/>
          <w:bCs/>
          <w:sz w:val="22"/>
          <w:szCs w:val="28"/>
        </w:rPr>
      </w:pPr>
      <w:r w:rsidRPr="003C2415">
        <w:rPr>
          <w:rFonts w:ascii="Arial Narrow" w:hAnsi="Arial Narrow"/>
          <w:b/>
          <w:bCs/>
          <w:szCs w:val="28"/>
        </w:rPr>
        <w:tab/>
      </w:r>
    </w:p>
    <w:p w:rsidR="00B83815" w:rsidRPr="003C2415" w:rsidRDefault="00B83815" w:rsidP="00B83815">
      <w:pPr>
        <w:pStyle w:val="Sangradetextonormal"/>
        <w:numPr>
          <w:ilvl w:val="0"/>
          <w:numId w:val="8"/>
        </w:numPr>
        <w:tabs>
          <w:tab w:val="clear" w:pos="1068"/>
          <w:tab w:val="num" w:pos="900"/>
        </w:tabs>
        <w:ind w:hanging="528"/>
        <w:jc w:val="left"/>
        <w:rPr>
          <w:rFonts w:ascii="Arial Narrow" w:hAnsi="Arial Narrow"/>
          <w:b/>
          <w:bCs/>
          <w:szCs w:val="28"/>
        </w:rPr>
      </w:pPr>
      <w:r w:rsidRPr="003C2415">
        <w:rPr>
          <w:rFonts w:ascii="Arial Narrow" w:hAnsi="Arial Narrow"/>
          <w:b/>
          <w:bCs/>
          <w:szCs w:val="28"/>
        </w:rPr>
        <w:t>Política Fiscal</w:t>
      </w:r>
    </w:p>
    <w:p w:rsidR="00B83815" w:rsidRPr="00A9560D" w:rsidRDefault="00B83815" w:rsidP="00F759B1">
      <w:pPr>
        <w:pStyle w:val="Sangradetextonormal"/>
        <w:spacing w:line="240" w:lineRule="auto"/>
        <w:ind w:firstLine="0"/>
        <w:jc w:val="left"/>
        <w:rPr>
          <w:rFonts w:ascii="Arial Narrow" w:hAnsi="Arial Narrow"/>
          <w:b/>
          <w:bCs/>
          <w:sz w:val="12"/>
          <w:szCs w:val="32"/>
        </w:rPr>
      </w:pPr>
    </w:p>
    <w:p w:rsidR="00B83815" w:rsidRPr="003C2415" w:rsidRDefault="00AB7AB1" w:rsidP="00824D55">
      <w:pPr>
        <w:pStyle w:val="Sangradetextonormal"/>
        <w:ind w:firstLine="876"/>
        <w:rPr>
          <w:rFonts w:ascii="Arial Narrow" w:hAnsi="Arial Narrow"/>
          <w:sz w:val="22"/>
          <w:szCs w:val="22"/>
        </w:rPr>
      </w:pPr>
      <w:r>
        <w:rPr>
          <w:rFonts w:ascii="Arial Narrow" w:hAnsi="Arial Narrow"/>
          <w:sz w:val="22"/>
          <w:szCs w:val="22"/>
        </w:rPr>
        <w:t xml:space="preserve">La administración federal </w:t>
      </w:r>
      <w:r w:rsidR="006903EA">
        <w:rPr>
          <w:rFonts w:ascii="Arial Narrow" w:hAnsi="Arial Narrow"/>
          <w:sz w:val="22"/>
          <w:szCs w:val="22"/>
        </w:rPr>
        <w:t>sost</w:t>
      </w:r>
      <w:r w:rsidR="008F2FBB">
        <w:rPr>
          <w:rFonts w:ascii="Arial Narrow" w:hAnsi="Arial Narrow"/>
          <w:sz w:val="22"/>
          <w:szCs w:val="22"/>
        </w:rPr>
        <w:t xml:space="preserve">uvo </w:t>
      </w:r>
      <w:r w:rsidR="00D84E15">
        <w:rPr>
          <w:rFonts w:ascii="Arial Narrow" w:hAnsi="Arial Narrow"/>
          <w:sz w:val="22"/>
          <w:szCs w:val="22"/>
        </w:rPr>
        <w:t>en el Paquete E</w:t>
      </w:r>
      <w:r w:rsidR="00654343" w:rsidRPr="00654343">
        <w:rPr>
          <w:rFonts w:ascii="Arial Narrow" w:hAnsi="Arial Narrow"/>
          <w:sz w:val="22"/>
          <w:szCs w:val="22"/>
        </w:rPr>
        <w:t xml:space="preserve">conómico </w:t>
      </w:r>
      <w:r w:rsidR="00EA3219">
        <w:rPr>
          <w:rFonts w:ascii="Arial Narrow" w:hAnsi="Arial Narrow"/>
          <w:sz w:val="22"/>
          <w:szCs w:val="22"/>
        </w:rPr>
        <w:t>2021 que</w:t>
      </w:r>
      <w:r w:rsidR="00654343" w:rsidRPr="00654343">
        <w:rPr>
          <w:rFonts w:ascii="Arial Narrow" w:hAnsi="Arial Narrow"/>
          <w:sz w:val="22"/>
          <w:szCs w:val="22"/>
        </w:rPr>
        <w:t xml:space="preserve"> </w:t>
      </w:r>
      <w:r w:rsidR="00EA3219">
        <w:rPr>
          <w:rFonts w:ascii="Arial Narrow" w:hAnsi="Arial Narrow"/>
          <w:sz w:val="22"/>
          <w:szCs w:val="22"/>
        </w:rPr>
        <w:t>se partió</w:t>
      </w:r>
      <w:r w:rsidR="00EA3219" w:rsidRPr="00EA3219">
        <w:rPr>
          <w:rFonts w:ascii="Arial Narrow" w:hAnsi="Arial Narrow"/>
          <w:sz w:val="22"/>
          <w:szCs w:val="22"/>
        </w:rPr>
        <w:t xml:space="preserve"> de un Marco Macroeconómico prudente, considerando la evolución de las variables económicas y la incertidumbre que prevalece tras el impacto de la pandemia del COVID-19. De esa forma, se </w:t>
      </w:r>
      <w:r w:rsidR="00EA3219">
        <w:rPr>
          <w:rFonts w:ascii="Arial Narrow" w:hAnsi="Arial Narrow"/>
          <w:sz w:val="22"/>
          <w:szCs w:val="22"/>
        </w:rPr>
        <w:t>estimó que continuaría</w:t>
      </w:r>
      <w:r w:rsidR="00EA3219" w:rsidRPr="00EA3219">
        <w:rPr>
          <w:rFonts w:ascii="Arial Narrow" w:hAnsi="Arial Narrow"/>
          <w:sz w:val="22"/>
          <w:szCs w:val="22"/>
        </w:rPr>
        <w:t xml:space="preserve"> la reactivación económica inicia</w:t>
      </w:r>
      <w:r w:rsidR="00EA3219">
        <w:rPr>
          <w:rFonts w:ascii="Arial Narrow" w:hAnsi="Arial Narrow"/>
          <w:sz w:val="22"/>
          <w:szCs w:val="22"/>
        </w:rPr>
        <w:t xml:space="preserve">da en la segunda parte de 2020, previéndose </w:t>
      </w:r>
      <w:r w:rsidR="00EA3219" w:rsidRPr="00EA3219">
        <w:rPr>
          <w:rFonts w:ascii="Arial Narrow" w:hAnsi="Arial Narrow"/>
          <w:sz w:val="22"/>
          <w:szCs w:val="22"/>
        </w:rPr>
        <w:t>que la contención de la pandemia en México y en el exterior permit</w:t>
      </w:r>
      <w:r w:rsidR="00EA3219">
        <w:rPr>
          <w:rFonts w:ascii="Arial Narrow" w:hAnsi="Arial Narrow"/>
          <w:sz w:val="22"/>
          <w:szCs w:val="22"/>
        </w:rPr>
        <w:t>iera</w:t>
      </w:r>
      <w:r w:rsidR="00EA3219" w:rsidRPr="00EA3219">
        <w:rPr>
          <w:rFonts w:ascii="Arial Narrow" w:hAnsi="Arial Narrow"/>
          <w:sz w:val="22"/>
          <w:szCs w:val="22"/>
        </w:rPr>
        <w:t xml:space="preserve"> la remoción paulatina de las medidas de confinamiento, una mayor utilización de la capacidad productiva instalada, que el T-MEC potencie a los sectores integrados a la economía global y la inversión estratégica; que la inversión pública y privada en infraestructura impulsen la generación de empleo y el derrame económico sobre otros sectores; en tanto que el sector financiero apoye el flujo de recursos hacia hogares, empresas y proyectos productivos, apoyados por la política monetaria acomodaticia que se lleva a cabo tanto en México como en el exterior</w:t>
      </w:r>
      <w:r w:rsidR="0053335C">
        <w:rPr>
          <w:rFonts w:ascii="Arial Narrow" w:hAnsi="Arial Narrow"/>
          <w:sz w:val="22"/>
          <w:szCs w:val="22"/>
        </w:rPr>
        <w:t>.</w:t>
      </w:r>
    </w:p>
    <w:p w:rsidR="00B83815" w:rsidRPr="003C2415" w:rsidRDefault="00B83815" w:rsidP="00F759B1">
      <w:pPr>
        <w:pStyle w:val="Sangradetextonormal"/>
        <w:spacing w:line="240" w:lineRule="auto"/>
        <w:ind w:firstLine="873"/>
        <w:rPr>
          <w:rFonts w:ascii="Arial Narrow" w:hAnsi="Arial Narrow"/>
          <w:sz w:val="22"/>
          <w:szCs w:val="22"/>
        </w:rPr>
      </w:pPr>
    </w:p>
    <w:p w:rsidR="00B83815" w:rsidRPr="003C2415" w:rsidRDefault="00B83815" w:rsidP="00B83815">
      <w:pPr>
        <w:pStyle w:val="Sangradetextonormal"/>
        <w:numPr>
          <w:ilvl w:val="0"/>
          <w:numId w:val="8"/>
        </w:numPr>
        <w:tabs>
          <w:tab w:val="clear" w:pos="1068"/>
          <w:tab w:val="num" w:pos="900"/>
        </w:tabs>
        <w:ind w:hanging="528"/>
        <w:jc w:val="left"/>
        <w:rPr>
          <w:rFonts w:ascii="Arial Narrow" w:hAnsi="Arial Narrow"/>
          <w:b/>
          <w:bCs/>
          <w:szCs w:val="28"/>
        </w:rPr>
      </w:pPr>
      <w:r w:rsidRPr="003C2415">
        <w:rPr>
          <w:rFonts w:ascii="Arial Narrow" w:hAnsi="Arial Narrow"/>
          <w:b/>
          <w:bCs/>
          <w:szCs w:val="28"/>
        </w:rPr>
        <w:t>Líneas de Acción</w:t>
      </w:r>
    </w:p>
    <w:p w:rsidR="00B83815" w:rsidRPr="00992D26" w:rsidRDefault="00B83815" w:rsidP="00F759B1">
      <w:pPr>
        <w:pStyle w:val="Sangradetextonormal"/>
        <w:spacing w:line="120" w:lineRule="auto"/>
        <w:ind w:firstLine="0"/>
        <w:jc w:val="left"/>
        <w:rPr>
          <w:rFonts w:ascii="Arial Narrow" w:hAnsi="Arial Narrow"/>
          <w:b/>
          <w:bCs/>
          <w:sz w:val="32"/>
          <w:szCs w:val="32"/>
        </w:rPr>
      </w:pPr>
    </w:p>
    <w:p w:rsidR="0053335C" w:rsidRDefault="00B83815" w:rsidP="0053335C">
      <w:pPr>
        <w:pStyle w:val="Sangradetextonormal"/>
        <w:ind w:firstLine="876"/>
        <w:rPr>
          <w:rFonts w:ascii="Arial Narrow" w:hAnsi="Arial Narrow"/>
          <w:sz w:val="22"/>
          <w:szCs w:val="22"/>
        </w:rPr>
      </w:pPr>
      <w:r>
        <w:rPr>
          <w:rFonts w:ascii="Arial Narrow" w:hAnsi="Arial Narrow"/>
          <w:sz w:val="22"/>
          <w:szCs w:val="22"/>
        </w:rPr>
        <w:t xml:space="preserve">En </w:t>
      </w:r>
      <w:r w:rsidR="001A7586">
        <w:rPr>
          <w:rFonts w:ascii="Arial Narrow" w:hAnsi="Arial Narrow"/>
          <w:sz w:val="22"/>
          <w:szCs w:val="22"/>
        </w:rPr>
        <w:t xml:space="preserve">el paquete económico para </w:t>
      </w:r>
      <w:r w:rsidR="0053335C">
        <w:rPr>
          <w:rFonts w:ascii="Arial Narrow" w:hAnsi="Arial Narrow"/>
          <w:sz w:val="22"/>
          <w:szCs w:val="22"/>
        </w:rPr>
        <w:t>2021</w:t>
      </w:r>
      <w:r w:rsidR="00EA3167">
        <w:rPr>
          <w:rFonts w:ascii="Arial Narrow" w:hAnsi="Arial Narrow"/>
          <w:sz w:val="22"/>
          <w:szCs w:val="22"/>
        </w:rPr>
        <w:t xml:space="preserve"> se precisó que</w:t>
      </w:r>
      <w:r w:rsidR="00662682">
        <w:rPr>
          <w:rFonts w:ascii="Arial Narrow" w:hAnsi="Arial Narrow"/>
          <w:sz w:val="22"/>
          <w:szCs w:val="22"/>
        </w:rPr>
        <w:t xml:space="preserve"> </w:t>
      </w:r>
      <w:r w:rsidR="0053335C" w:rsidRPr="0053335C">
        <w:rPr>
          <w:rFonts w:ascii="Arial Narrow" w:hAnsi="Arial Narrow"/>
          <w:sz w:val="22"/>
          <w:szCs w:val="22"/>
        </w:rPr>
        <w:t>las políticas públicas deberán continuar adaptándose a la trayectoria de la pandemia del COVID-19, garantizando la disponibilidad de atención médica, procurando una recuperación económica sostenida pero segura en términos sanitarios, manteniendo la salud del sistema financiero para que cumpla su función de intermediación de recursos y preservando finanzas públicas sanas, a fin de contribuir a la estabilidad macroeconómica y disponer de recursos en el largo plazo para cumplir los objetivos del Estado, en lugar de destinarlos al servicio de la deuda.</w:t>
      </w:r>
    </w:p>
    <w:p w:rsidR="0053335C" w:rsidRPr="0053335C" w:rsidRDefault="0053335C" w:rsidP="0053335C">
      <w:pPr>
        <w:pStyle w:val="Sangradetextonormal"/>
        <w:ind w:firstLine="876"/>
        <w:rPr>
          <w:rFonts w:ascii="Arial Narrow" w:hAnsi="Arial Narrow"/>
          <w:sz w:val="22"/>
          <w:szCs w:val="22"/>
        </w:rPr>
      </w:pPr>
    </w:p>
    <w:p w:rsidR="00066003" w:rsidRDefault="0053335C" w:rsidP="0053335C">
      <w:pPr>
        <w:pStyle w:val="Sangradetextonormal"/>
        <w:ind w:firstLine="876"/>
        <w:rPr>
          <w:rFonts w:ascii="Arial Narrow" w:hAnsi="Arial Narrow"/>
          <w:sz w:val="22"/>
          <w:szCs w:val="22"/>
        </w:rPr>
      </w:pPr>
      <w:r w:rsidRPr="0053335C">
        <w:rPr>
          <w:rFonts w:ascii="Arial Narrow" w:hAnsi="Arial Narrow"/>
          <w:sz w:val="22"/>
          <w:szCs w:val="22"/>
        </w:rPr>
        <w:t>En este sentido, las políticas fiscales y financiera que se proponen en el Paquete Económico 2021 est</w:t>
      </w:r>
      <w:r>
        <w:rPr>
          <w:rFonts w:ascii="Arial Narrow" w:hAnsi="Arial Narrow"/>
          <w:sz w:val="22"/>
          <w:szCs w:val="22"/>
        </w:rPr>
        <w:t>uvieron</w:t>
      </w:r>
      <w:r w:rsidRPr="0053335C">
        <w:rPr>
          <w:rFonts w:ascii="Arial Narrow" w:hAnsi="Arial Narrow"/>
          <w:sz w:val="22"/>
          <w:szCs w:val="22"/>
        </w:rPr>
        <w:t xml:space="preserve"> orientadas a ampliar y fortalecer las capacidades del sistema de salud, particularmente los servicios orientados a la atención de los grupos más vulnerables; promover un restablecimiento rápido y sostenido del empleo y de la actividad económica; continuar reduciendo la desigualdad y sentando las bases para un desarrollo equilibrado y vigoroso en el largo plazo; y asegurar la sostenibilidad fiscal de largo plazo.</w:t>
      </w:r>
    </w:p>
    <w:p w:rsidR="00F838A0" w:rsidRDefault="00F838A0" w:rsidP="0053335C">
      <w:pPr>
        <w:pStyle w:val="Sangradetextonormal"/>
        <w:ind w:firstLine="876"/>
        <w:rPr>
          <w:rFonts w:ascii="Arial Narrow" w:hAnsi="Arial Narrow"/>
          <w:sz w:val="22"/>
          <w:szCs w:val="22"/>
        </w:rPr>
      </w:pPr>
    </w:p>
    <w:p w:rsidR="00066003" w:rsidRDefault="00066003" w:rsidP="00066003">
      <w:pPr>
        <w:pStyle w:val="Sangradetextonormal"/>
        <w:ind w:hanging="284"/>
        <w:rPr>
          <w:rFonts w:ascii="Arial Narrow" w:hAnsi="Arial Narrow"/>
          <w:sz w:val="22"/>
          <w:szCs w:val="22"/>
        </w:rPr>
      </w:pPr>
      <w:r>
        <w:rPr>
          <w:rFonts w:ascii="Arial Narrow" w:hAnsi="Arial Narrow"/>
          <w:sz w:val="22"/>
          <w:szCs w:val="22"/>
        </w:rPr>
        <w:lastRenderedPageBreak/>
        <w:tab/>
      </w:r>
      <w:r>
        <w:rPr>
          <w:rFonts w:ascii="Arial Narrow" w:hAnsi="Arial Narrow"/>
          <w:sz w:val="22"/>
          <w:szCs w:val="22"/>
        </w:rPr>
        <w:tab/>
        <w:t xml:space="preserve">Con respecto a la Política de Ingresos se argumentó que </w:t>
      </w:r>
      <w:r w:rsidRPr="00066003">
        <w:rPr>
          <w:rFonts w:ascii="Arial Narrow" w:hAnsi="Arial Narrow"/>
          <w:sz w:val="22"/>
          <w:szCs w:val="22"/>
        </w:rPr>
        <w:t xml:space="preserve">se mantiene el compromiso del Gobierno de México de fortalecer los ingresos del sector público, optimizando el monitoreo y supervisión de los canales de captación de recursos y robusteciendo el marco normativo vigente, al tiempo que no se incrementan los impuestos o tasas vigentes. </w:t>
      </w:r>
      <w:r>
        <w:rPr>
          <w:rFonts w:ascii="Arial Narrow" w:hAnsi="Arial Narrow"/>
          <w:sz w:val="22"/>
          <w:szCs w:val="22"/>
        </w:rPr>
        <w:t>Se dijo que l</w:t>
      </w:r>
      <w:r w:rsidRPr="00066003">
        <w:rPr>
          <w:rFonts w:ascii="Arial Narrow" w:hAnsi="Arial Narrow"/>
          <w:sz w:val="22"/>
          <w:szCs w:val="22"/>
        </w:rPr>
        <w:t>a ILIF 2021 contiene una serie de medidas orientadas a facilitar el cumplimiento en el pago de los impuestos existentes y en cerrar espacios de evasión y elusión fiscales. Al respecto, cabe señalar que si bien el bajo cumplimiento tributario en el país es uno de los problemas más persistentes de las últimas décadas, es un problema que, debidamente atendido, se convierte en un área de oportunidad importante para aumentar la recaudación.</w:t>
      </w:r>
    </w:p>
    <w:p w:rsidR="00CB408D" w:rsidRPr="00824D55" w:rsidRDefault="00CB408D" w:rsidP="00F6100E">
      <w:pPr>
        <w:pStyle w:val="Sangradetextonormal"/>
        <w:ind w:firstLine="876"/>
        <w:rPr>
          <w:rFonts w:ascii="Arial Narrow" w:hAnsi="Arial Narrow"/>
          <w:sz w:val="14"/>
          <w:szCs w:val="22"/>
        </w:rPr>
      </w:pPr>
    </w:p>
    <w:p w:rsidR="00066003" w:rsidRDefault="00CB408D" w:rsidP="00066003">
      <w:pPr>
        <w:pStyle w:val="Sangradetextonormal"/>
        <w:ind w:firstLine="876"/>
        <w:rPr>
          <w:rFonts w:ascii="Arial Narrow" w:hAnsi="Arial Narrow"/>
          <w:sz w:val="22"/>
          <w:szCs w:val="22"/>
        </w:rPr>
      </w:pPr>
      <w:r w:rsidRPr="00CB408D">
        <w:rPr>
          <w:rFonts w:ascii="Arial Narrow" w:hAnsi="Arial Narrow"/>
          <w:sz w:val="22"/>
          <w:szCs w:val="22"/>
        </w:rPr>
        <w:t>En</w:t>
      </w:r>
      <w:r>
        <w:rPr>
          <w:rFonts w:ascii="Arial Narrow" w:hAnsi="Arial Narrow"/>
          <w:sz w:val="22"/>
          <w:szCs w:val="22"/>
        </w:rPr>
        <w:t xml:space="preserve"> cuanto a política de gasto</w:t>
      </w:r>
      <w:r w:rsidR="00910584">
        <w:rPr>
          <w:rFonts w:ascii="Arial Narrow" w:hAnsi="Arial Narrow"/>
          <w:sz w:val="22"/>
          <w:szCs w:val="22"/>
        </w:rPr>
        <w:t xml:space="preserve">, </w:t>
      </w:r>
      <w:r w:rsidR="00066003">
        <w:rPr>
          <w:rFonts w:ascii="Arial Narrow" w:hAnsi="Arial Narrow"/>
          <w:sz w:val="22"/>
          <w:szCs w:val="22"/>
        </w:rPr>
        <w:t>se planteó</w:t>
      </w:r>
      <w:r w:rsidR="00066003" w:rsidRPr="00066003">
        <w:rPr>
          <w:rFonts w:ascii="Arial Narrow" w:hAnsi="Arial Narrow"/>
          <w:sz w:val="22"/>
          <w:szCs w:val="22"/>
        </w:rPr>
        <w:t xml:space="preserve"> un PPEF balanceado y sensible, que atiende la emergencia sanitaria, soporta e impulsa la recuperación económica, refuerza la red de protección social de los grupos más desfavorecidos del país, invierte en el desarrollo de la niñez y la juventud mexicanas y sienta las bases y la infraestructura para un desarrollo más equitativo y duradero.</w:t>
      </w:r>
      <w:r w:rsidR="00066003">
        <w:rPr>
          <w:rFonts w:ascii="Arial Narrow" w:hAnsi="Arial Narrow"/>
          <w:sz w:val="22"/>
          <w:szCs w:val="22"/>
        </w:rPr>
        <w:t xml:space="preserve"> Se expuso que para 2021 continuaría</w:t>
      </w:r>
      <w:r w:rsidR="00066003" w:rsidRPr="00066003">
        <w:rPr>
          <w:rFonts w:ascii="Arial Narrow" w:hAnsi="Arial Narrow"/>
          <w:sz w:val="22"/>
          <w:szCs w:val="22"/>
        </w:rPr>
        <w:t xml:space="preserve"> el fortalecimiento de los recursos humanos y físicos del sistema de salud, a fin de resolver tanto la emergencia sanitaria como el déficit en la materia acumulado en el curso de los años, con el fin último de potenciar la calidad de vida de la población. Así, el PPEF 2021 plantea un aumento real respecto al PEF 2020 de 9.1% en el ramo de Salud y de 5.0% para IMSS e ISSSTE en conjunto.</w:t>
      </w:r>
      <w:r w:rsidR="00066003">
        <w:rPr>
          <w:rFonts w:ascii="Arial Narrow" w:hAnsi="Arial Narrow"/>
          <w:sz w:val="22"/>
          <w:szCs w:val="22"/>
        </w:rPr>
        <w:t xml:space="preserve"> </w:t>
      </w:r>
      <w:r w:rsidR="00066003" w:rsidRPr="00066003">
        <w:rPr>
          <w:rFonts w:ascii="Arial Narrow" w:hAnsi="Arial Narrow"/>
          <w:sz w:val="22"/>
          <w:szCs w:val="22"/>
        </w:rPr>
        <w:t>Más aun, se robustecen los programas para el Bienestar de las Personas Adultas Mayores y de las Personas con Discapacidad, que al tiempo que resuelven un tema de justicia social liberan recursos de los hogares para</w:t>
      </w:r>
      <w:r w:rsidR="00066003">
        <w:rPr>
          <w:rFonts w:ascii="Arial Narrow" w:hAnsi="Arial Narrow"/>
          <w:sz w:val="22"/>
          <w:szCs w:val="22"/>
        </w:rPr>
        <w:t xml:space="preserve"> </w:t>
      </w:r>
      <w:r w:rsidR="00066003" w:rsidRPr="00066003">
        <w:rPr>
          <w:rFonts w:ascii="Arial Narrow" w:hAnsi="Arial Narrow"/>
          <w:sz w:val="22"/>
          <w:szCs w:val="22"/>
        </w:rPr>
        <w:t xml:space="preserve">inversiones productivas. </w:t>
      </w:r>
    </w:p>
    <w:p w:rsidR="0053335C" w:rsidRDefault="0053335C" w:rsidP="00066003">
      <w:pPr>
        <w:pStyle w:val="Sangradetextonormal"/>
        <w:ind w:firstLine="876"/>
        <w:rPr>
          <w:rFonts w:ascii="Arial Narrow" w:hAnsi="Arial Narrow"/>
          <w:sz w:val="22"/>
          <w:szCs w:val="22"/>
        </w:rPr>
      </w:pPr>
    </w:p>
    <w:p w:rsidR="0053335C" w:rsidRDefault="00066003" w:rsidP="0036193C">
      <w:pPr>
        <w:pStyle w:val="Sangradetextonormal"/>
        <w:ind w:firstLine="876"/>
        <w:rPr>
          <w:rFonts w:ascii="Arial Narrow" w:hAnsi="Arial Narrow"/>
          <w:sz w:val="22"/>
          <w:szCs w:val="22"/>
        </w:rPr>
      </w:pPr>
      <w:r w:rsidRPr="00066003">
        <w:rPr>
          <w:rFonts w:ascii="Arial Narrow" w:hAnsi="Arial Narrow"/>
          <w:sz w:val="22"/>
          <w:szCs w:val="22"/>
        </w:rPr>
        <w:t>Adicionalmente, se potencia la inversión en infraestructura para apoyar el rápido restablecimiento de la economía en el corto plazo y con el fin de mejorar la conectividad interna y con el exterior de México; asegurar la continuidad y asequibilidad de los recursos energéticos que continuarán siendo el principal motor de la economía global por décadas; e impulsar en general el desarrollo de largo plazo, particularmente el de la región Sur-Sureste.</w:t>
      </w:r>
    </w:p>
    <w:p w:rsidR="0053335C" w:rsidRDefault="0053335C" w:rsidP="0036193C">
      <w:pPr>
        <w:pStyle w:val="Sangradetextonormal"/>
        <w:ind w:firstLine="876"/>
        <w:rPr>
          <w:rFonts w:ascii="Arial Narrow" w:hAnsi="Arial Narrow"/>
          <w:sz w:val="22"/>
          <w:szCs w:val="22"/>
        </w:rPr>
      </w:pPr>
    </w:p>
    <w:p w:rsidR="00066003" w:rsidRDefault="00FD0606" w:rsidP="0036193C">
      <w:pPr>
        <w:pStyle w:val="Sangradetextonormal"/>
        <w:ind w:firstLine="876"/>
        <w:rPr>
          <w:rFonts w:ascii="Arial Narrow" w:hAnsi="Arial Narrow"/>
          <w:sz w:val="22"/>
          <w:szCs w:val="22"/>
        </w:rPr>
      </w:pPr>
      <w:r>
        <w:rPr>
          <w:rFonts w:ascii="Arial Narrow" w:hAnsi="Arial Narrow"/>
          <w:sz w:val="22"/>
          <w:szCs w:val="22"/>
        </w:rPr>
        <w:t xml:space="preserve">Por otro lado, </w:t>
      </w:r>
      <w:r w:rsidR="00066003">
        <w:rPr>
          <w:rFonts w:ascii="Arial Narrow" w:hAnsi="Arial Narrow"/>
          <w:sz w:val="22"/>
          <w:szCs w:val="22"/>
        </w:rPr>
        <w:t xml:space="preserve">se enfatiza que </w:t>
      </w:r>
      <w:r w:rsidR="000D7988">
        <w:rPr>
          <w:rFonts w:ascii="Arial Narrow" w:hAnsi="Arial Narrow"/>
          <w:sz w:val="22"/>
          <w:szCs w:val="22"/>
        </w:rPr>
        <w:t>l</w:t>
      </w:r>
      <w:r w:rsidR="000D7988" w:rsidRPr="000D7988">
        <w:rPr>
          <w:rFonts w:ascii="Arial Narrow" w:hAnsi="Arial Narrow"/>
          <w:sz w:val="22"/>
          <w:szCs w:val="22"/>
        </w:rPr>
        <w:t>a política de deuda para 20</w:t>
      </w:r>
      <w:r w:rsidR="00066003">
        <w:rPr>
          <w:rFonts w:ascii="Arial Narrow" w:hAnsi="Arial Narrow"/>
          <w:sz w:val="22"/>
          <w:szCs w:val="22"/>
        </w:rPr>
        <w:t>21</w:t>
      </w:r>
      <w:r w:rsidR="000D7988" w:rsidRPr="000D7988">
        <w:rPr>
          <w:rFonts w:ascii="Arial Narrow" w:hAnsi="Arial Narrow"/>
          <w:sz w:val="22"/>
          <w:szCs w:val="22"/>
        </w:rPr>
        <w:t xml:space="preserve"> </w:t>
      </w:r>
      <w:r w:rsidR="00066003" w:rsidRPr="00066003">
        <w:rPr>
          <w:rFonts w:ascii="Arial Narrow" w:hAnsi="Arial Narrow"/>
          <w:sz w:val="22"/>
          <w:szCs w:val="22"/>
        </w:rPr>
        <w:t xml:space="preserve">refrenda la prudencia que ha caracterizado a la administración actual de continuar controlando y estabilizando la trayectoria de la deuda con respecto al PIB. Adicionalmente, toma en cuenta que si bien en general existe mayor optimismo en los </w:t>
      </w:r>
      <w:r w:rsidR="00066003" w:rsidRPr="00066003">
        <w:rPr>
          <w:rFonts w:ascii="Arial Narrow" w:hAnsi="Arial Narrow"/>
          <w:sz w:val="22"/>
          <w:szCs w:val="22"/>
        </w:rPr>
        <w:lastRenderedPageBreak/>
        <w:t>mercados financieros nacionales e internacionales, no está descartada la ocurrencia de nuevos episodios de volatilidad.</w:t>
      </w:r>
      <w:r w:rsidR="0053335C">
        <w:rPr>
          <w:rFonts w:ascii="Arial Narrow" w:hAnsi="Arial Narrow"/>
          <w:sz w:val="22"/>
          <w:szCs w:val="22"/>
        </w:rPr>
        <w:t xml:space="preserve"> </w:t>
      </w:r>
      <w:r w:rsidR="00066003">
        <w:rPr>
          <w:rFonts w:ascii="Arial Narrow" w:hAnsi="Arial Narrow"/>
          <w:sz w:val="22"/>
          <w:szCs w:val="22"/>
        </w:rPr>
        <w:t>Al efecto, se sostuvo que c</w:t>
      </w:r>
      <w:r w:rsidR="00066003" w:rsidRPr="00066003">
        <w:rPr>
          <w:rFonts w:ascii="Arial Narrow" w:hAnsi="Arial Narrow"/>
          <w:sz w:val="22"/>
          <w:szCs w:val="22"/>
        </w:rPr>
        <w:t>omo resultado de los efectos de la pandemia, las necesidades de financiamiento en la mayoría de las economías del mundo han alcanzado niveles históricos. De acuerdo con la Organización para la Cooperación y el Desarrollo Económico (OCDE), en los primeros cinco meses de 2020 la emisión de valores gubernamentales en sus países miembros se incrementó casi 70% con respecto al promedio del mismo periodo observado en los últimos cinco años.</w:t>
      </w:r>
    </w:p>
    <w:p w:rsidR="00066003" w:rsidRDefault="00066003" w:rsidP="0036193C">
      <w:pPr>
        <w:pStyle w:val="Sangradetextonormal"/>
        <w:ind w:firstLine="876"/>
        <w:rPr>
          <w:rFonts w:ascii="Arial Narrow" w:hAnsi="Arial Narrow"/>
          <w:sz w:val="22"/>
          <w:szCs w:val="22"/>
        </w:rPr>
      </w:pPr>
    </w:p>
    <w:p w:rsidR="00066003" w:rsidRPr="007E2311" w:rsidRDefault="00066003" w:rsidP="0036193C">
      <w:pPr>
        <w:pStyle w:val="Sangradetextonormal"/>
        <w:ind w:firstLine="876"/>
        <w:rPr>
          <w:rFonts w:ascii="Arial Narrow" w:hAnsi="Arial Narrow"/>
          <w:sz w:val="22"/>
          <w:szCs w:val="22"/>
        </w:rPr>
      </w:pPr>
      <w:r w:rsidRPr="00066003">
        <w:rPr>
          <w:rFonts w:ascii="Arial Narrow" w:hAnsi="Arial Narrow"/>
          <w:sz w:val="22"/>
          <w:szCs w:val="22"/>
        </w:rPr>
        <w:t>Con esta coyuntura, la política de deuda pública del Gobierno de México se ha enfocado en satisfacer de manera oportuna y eficiente las necesidades de financiamiento del Gobierno Federal y en continuar con un manejo responsable de las finanzas públicas, para evitar incurrir en endeudamiento adicional y generar desequilibrios que exacerben los retos económicos que se enfrentan. Durante la fase inicial de la pandemia del COVID-19 se presentaron periodos de inestabilidad en los mercados de deuda local por una mayor aversión al riesgo a nivel global. Ante esta situación, la política de deuda respondió de manera rápida a la coyuntura del mercado y se hicieron los ajustes necesarios en el programa de subastas de valores gubernamentales.</w:t>
      </w:r>
    </w:p>
    <w:p w:rsidR="00FD0606" w:rsidRPr="00C96AE9" w:rsidRDefault="00FD0606" w:rsidP="007E2311">
      <w:pPr>
        <w:pStyle w:val="Sangradetextonormal"/>
        <w:ind w:firstLine="876"/>
        <w:rPr>
          <w:rFonts w:ascii="Arial Narrow" w:hAnsi="Arial Narrow"/>
          <w:sz w:val="16"/>
          <w:szCs w:val="22"/>
        </w:rPr>
      </w:pPr>
    </w:p>
    <w:p w:rsidR="00824D55" w:rsidRPr="00C96AE9" w:rsidRDefault="00824D55" w:rsidP="00C96AE9">
      <w:pPr>
        <w:pStyle w:val="Sangradetextonormal"/>
        <w:ind w:left="1134" w:firstLine="0"/>
        <w:rPr>
          <w:rFonts w:ascii="Arial Narrow" w:hAnsi="Arial Narrow"/>
          <w:sz w:val="22"/>
          <w:szCs w:val="22"/>
        </w:rPr>
      </w:pPr>
    </w:p>
    <w:p w:rsidR="00B83815" w:rsidRPr="00605C58" w:rsidRDefault="00B83815" w:rsidP="00B83815">
      <w:pPr>
        <w:pStyle w:val="Sangradetextonormal"/>
        <w:ind w:firstLine="0"/>
        <w:jc w:val="left"/>
        <w:rPr>
          <w:rFonts w:ascii="Arial Narrow" w:hAnsi="Arial Narrow"/>
          <w:b/>
          <w:bCs/>
          <w:szCs w:val="28"/>
        </w:rPr>
      </w:pPr>
      <w:r w:rsidRPr="00605C58">
        <w:rPr>
          <w:rFonts w:ascii="Arial Narrow" w:hAnsi="Arial Narrow"/>
          <w:b/>
          <w:bCs/>
          <w:szCs w:val="28"/>
        </w:rPr>
        <w:t>2.1.1.4.- Resultados obtenidos</w:t>
      </w:r>
    </w:p>
    <w:p w:rsidR="00B83815" w:rsidRDefault="00B83815" w:rsidP="00B83815">
      <w:pPr>
        <w:pStyle w:val="Sangradetextonormal"/>
        <w:spacing w:line="240" w:lineRule="auto"/>
        <w:ind w:firstLine="0"/>
        <w:jc w:val="left"/>
        <w:rPr>
          <w:rFonts w:ascii="Arial Narrow" w:hAnsi="Arial Narrow"/>
          <w:szCs w:val="28"/>
        </w:rPr>
      </w:pPr>
    </w:p>
    <w:p w:rsidR="00F838A0" w:rsidRDefault="00F838A0" w:rsidP="00B83815">
      <w:pPr>
        <w:pStyle w:val="Sangradetextonormal"/>
        <w:spacing w:line="240" w:lineRule="auto"/>
        <w:ind w:firstLine="0"/>
        <w:jc w:val="left"/>
        <w:rPr>
          <w:rFonts w:ascii="Arial Narrow" w:hAnsi="Arial Narrow"/>
          <w:szCs w:val="28"/>
        </w:rPr>
      </w:pPr>
    </w:p>
    <w:p w:rsidR="00824D55" w:rsidRDefault="00824D55" w:rsidP="00824D55">
      <w:pPr>
        <w:pStyle w:val="Sangradetextonormal"/>
        <w:ind w:firstLine="708"/>
        <w:rPr>
          <w:rFonts w:ascii="Arial Narrow" w:hAnsi="Arial Narrow"/>
          <w:szCs w:val="28"/>
        </w:rPr>
      </w:pPr>
      <w:r>
        <w:rPr>
          <w:rFonts w:ascii="Arial Narrow" w:hAnsi="Arial Narrow"/>
          <w:sz w:val="22"/>
          <w:szCs w:val="22"/>
        </w:rPr>
        <w:t xml:space="preserve">La Secretaría de Hacienda y Crédito Público (SHCP) considera que, a pesar de los efectos </w:t>
      </w:r>
      <w:r w:rsidRPr="00824D55">
        <w:rPr>
          <w:rFonts w:ascii="Arial Narrow" w:hAnsi="Arial Narrow"/>
          <w:sz w:val="22"/>
          <w:szCs w:val="22"/>
        </w:rPr>
        <w:t xml:space="preserve">económicos acontecidos por la contingencia sanitaria derivada de la pandemia originada por el virus SARS-CoV2 que </w:t>
      </w:r>
      <w:r>
        <w:rPr>
          <w:rFonts w:ascii="Arial Narrow" w:hAnsi="Arial Narrow"/>
          <w:sz w:val="22"/>
          <w:szCs w:val="22"/>
        </w:rPr>
        <w:t xml:space="preserve">genera la enfermedad COVID – 19, </w:t>
      </w:r>
      <w:r w:rsidR="001F14C4">
        <w:rPr>
          <w:rFonts w:ascii="Arial Narrow" w:hAnsi="Arial Narrow"/>
          <w:sz w:val="22"/>
          <w:szCs w:val="22"/>
        </w:rPr>
        <w:t>e</w:t>
      </w:r>
      <w:r w:rsidR="001F14C4" w:rsidRPr="001F14C4">
        <w:rPr>
          <w:rFonts w:ascii="Arial Narrow" w:hAnsi="Arial Narrow"/>
          <w:sz w:val="22"/>
          <w:szCs w:val="22"/>
        </w:rPr>
        <w:t>n 2021 se reafirmó la posición fiscal de México con finanzas públicas sanas, resultado de mayores ingresos a los programados, mayor gasto programable para incentivar la reactivación económica, menor gasto no programable por un manejo eficiente de pasivos, y una deuda pública sostenible y decreciente, además de estabilidad macroeconómica y financiera que brinda una base sólida para continuar con la reactivación económica en 2022 y hacia adelante.</w:t>
      </w:r>
    </w:p>
    <w:p w:rsidR="00824D55" w:rsidRDefault="00824D55" w:rsidP="00B83815">
      <w:pPr>
        <w:pStyle w:val="Sangradetextonormal"/>
        <w:spacing w:line="240" w:lineRule="auto"/>
        <w:ind w:firstLine="0"/>
        <w:jc w:val="left"/>
        <w:rPr>
          <w:rFonts w:ascii="Arial Narrow" w:hAnsi="Arial Narrow"/>
          <w:szCs w:val="28"/>
        </w:rPr>
      </w:pPr>
    </w:p>
    <w:p w:rsidR="0089028F" w:rsidRDefault="0089028F" w:rsidP="00B83815">
      <w:pPr>
        <w:pStyle w:val="Sangradetextonormal"/>
        <w:spacing w:line="240" w:lineRule="auto"/>
        <w:ind w:firstLine="0"/>
        <w:jc w:val="left"/>
        <w:rPr>
          <w:rFonts w:ascii="Arial Narrow" w:hAnsi="Arial Narrow"/>
          <w:szCs w:val="28"/>
        </w:rPr>
      </w:pPr>
    </w:p>
    <w:p w:rsidR="00B83815" w:rsidRPr="00605C58" w:rsidRDefault="00B83815" w:rsidP="00B83815">
      <w:pPr>
        <w:pStyle w:val="Sangradetextonormal"/>
        <w:numPr>
          <w:ilvl w:val="0"/>
          <w:numId w:val="11"/>
        </w:numPr>
        <w:jc w:val="left"/>
        <w:rPr>
          <w:rFonts w:ascii="Arial Narrow" w:hAnsi="Arial Narrow"/>
          <w:b/>
          <w:bCs/>
          <w:szCs w:val="28"/>
        </w:rPr>
      </w:pPr>
      <w:r w:rsidRPr="00605C58">
        <w:rPr>
          <w:rFonts w:ascii="Arial Narrow" w:hAnsi="Arial Narrow"/>
          <w:b/>
          <w:bCs/>
          <w:szCs w:val="28"/>
        </w:rPr>
        <w:lastRenderedPageBreak/>
        <w:t>Balance del Sector Público Presupuestario</w:t>
      </w:r>
    </w:p>
    <w:p w:rsidR="00B83815" w:rsidRDefault="00B83815" w:rsidP="00F759B1">
      <w:pPr>
        <w:pStyle w:val="Sangradetextonormal"/>
        <w:spacing w:line="240" w:lineRule="auto"/>
        <w:ind w:firstLine="873"/>
        <w:rPr>
          <w:rFonts w:ascii="Arial Narrow" w:hAnsi="Arial Narrow"/>
          <w:sz w:val="25"/>
        </w:rPr>
      </w:pPr>
    </w:p>
    <w:p w:rsidR="00B83815" w:rsidRPr="00605C58" w:rsidRDefault="00B83815" w:rsidP="00B53E1B">
      <w:pPr>
        <w:pStyle w:val="Sangradetextonormal"/>
        <w:ind w:firstLine="876"/>
        <w:rPr>
          <w:rFonts w:ascii="Arial Narrow" w:hAnsi="Arial Narrow"/>
          <w:sz w:val="22"/>
          <w:szCs w:val="22"/>
        </w:rPr>
      </w:pPr>
      <w:r w:rsidRPr="00605C58">
        <w:rPr>
          <w:rFonts w:ascii="Arial Narrow" w:hAnsi="Arial Narrow"/>
          <w:sz w:val="22"/>
          <w:szCs w:val="22"/>
        </w:rPr>
        <w:t>Como se comentó anteri</w:t>
      </w:r>
      <w:r w:rsidR="000833E2">
        <w:rPr>
          <w:rFonts w:ascii="Arial Narrow" w:hAnsi="Arial Narrow"/>
          <w:sz w:val="22"/>
          <w:szCs w:val="22"/>
        </w:rPr>
        <w:t xml:space="preserve">ormente, </w:t>
      </w:r>
      <w:r w:rsidR="008B3489" w:rsidRPr="008B3489">
        <w:rPr>
          <w:rFonts w:ascii="Arial Narrow" w:hAnsi="Arial Narrow"/>
          <w:sz w:val="22"/>
          <w:szCs w:val="22"/>
        </w:rPr>
        <w:t xml:space="preserve">el </w:t>
      </w:r>
      <w:r w:rsidR="008B3489">
        <w:rPr>
          <w:rFonts w:ascii="Arial Narrow" w:hAnsi="Arial Narrow"/>
          <w:sz w:val="22"/>
          <w:szCs w:val="22"/>
        </w:rPr>
        <w:t xml:space="preserve">Balance </w:t>
      </w:r>
      <w:r w:rsidR="008B3489" w:rsidRPr="008B3489">
        <w:rPr>
          <w:rFonts w:ascii="Arial Narrow" w:hAnsi="Arial Narrow"/>
          <w:sz w:val="22"/>
          <w:szCs w:val="22"/>
        </w:rPr>
        <w:t>del Sector Público se ubicó en 757 mil 790 millones de pesos, equivalent</w:t>
      </w:r>
      <w:r w:rsidR="008B3489">
        <w:rPr>
          <w:rFonts w:ascii="Arial Narrow" w:hAnsi="Arial Narrow"/>
          <w:sz w:val="22"/>
          <w:szCs w:val="22"/>
        </w:rPr>
        <w:t>e al 2.9%</w:t>
      </w:r>
      <w:r w:rsidR="008B3489" w:rsidRPr="008B3489">
        <w:rPr>
          <w:rFonts w:ascii="Arial Narrow" w:hAnsi="Arial Narrow"/>
          <w:sz w:val="22"/>
          <w:szCs w:val="22"/>
        </w:rPr>
        <w:t xml:space="preserve"> del PIB, igual a lo planteado originalmente en el Paquete Económico 2021 y a lo observado en 2020, por lo que el balance público presupuestario sin la inversión del Gobierno Federal y de las Empresas Productivas del Estado (Pemex y CFE) hasta el 2.2% del PIB, registró un déficit de 181 mil 429 millones de pesos</w:t>
      </w:r>
      <w:r w:rsidR="008B3489">
        <w:rPr>
          <w:rFonts w:ascii="Arial Narrow" w:hAnsi="Arial Narrow"/>
          <w:sz w:val="22"/>
          <w:szCs w:val="22"/>
        </w:rPr>
        <w:t>.</w:t>
      </w:r>
    </w:p>
    <w:p w:rsidR="00B83815" w:rsidRPr="00605C58" w:rsidRDefault="00B83815" w:rsidP="00B83815">
      <w:pPr>
        <w:pStyle w:val="Sangradetextonormal"/>
        <w:spacing w:line="240" w:lineRule="auto"/>
        <w:ind w:firstLine="0"/>
        <w:jc w:val="left"/>
        <w:rPr>
          <w:rFonts w:ascii="Arial Narrow" w:hAnsi="Arial Narrow"/>
          <w:sz w:val="22"/>
          <w:szCs w:val="22"/>
        </w:rPr>
      </w:pPr>
    </w:p>
    <w:p w:rsidR="00B83815"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Con base en cifras preliminares reportadas por la Secretaría de Hacienda y Crédito Público correspondie</w:t>
      </w:r>
      <w:r w:rsidR="000833E2">
        <w:rPr>
          <w:rFonts w:ascii="Arial Narrow" w:hAnsi="Arial Narrow"/>
          <w:sz w:val="22"/>
          <w:szCs w:val="22"/>
        </w:rPr>
        <w:t>ntes al cuarto trimestre de 20</w:t>
      </w:r>
      <w:r w:rsidR="008B3489">
        <w:rPr>
          <w:rFonts w:ascii="Arial Narrow" w:hAnsi="Arial Narrow"/>
          <w:sz w:val="22"/>
          <w:szCs w:val="22"/>
        </w:rPr>
        <w:t>21</w:t>
      </w:r>
      <w:r w:rsidRPr="00605C58">
        <w:rPr>
          <w:rFonts w:ascii="Arial Narrow" w:hAnsi="Arial Narrow"/>
          <w:sz w:val="22"/>
          <w:szCs w:val="22"/>
        </w:rPr>
        <w:t>, el Balance Público presentó el siguiente comportamiento:</w:t>
      </w:r>
    </w:p>
    <w:p w:rsidR="00806C17" w:rsidRPr="00605C58" w:rsidRDefault="00806C17" w:rsidP="00B83815">
      <w:pPr>
        <w:pStyle w:val="Sangradetextonormal"/>
        <w:ind w:firstLine="876"/>
        <w:rPr>
          <w:rFonts w:ascii="Arial Narrow" w:hAnsi="Arial Narrow"/>
          <w:sz w:val="22"/>
          <w:szCs w:val="22"/>
        </w:rPr>
      </w:pPr>
    </w:p>
    <w:p w:rsidR="00F838A0" w:rsidRDefault="00F838A0" w:rsidP="00C507AB">
      <w:pPr>
        <w:pStyle w:val="Sangradetextonormal"/>
        <w:spacing w:line="240" w:lineRule="auto"/>
        <w:ind w:firstLine="873"/>
        <w:rPr>
          <w:rFonts w:ascii="Arial Narrow" w:hAnsi="Arial Narrow"/>
          <w:sz w:val="22"/>
          <w:szCs w:val="22"/>
        </w:rPr>
      </w:pPr>
    </w:p>
    <w:p w:rsidR="00B83815" w:rsidRPr="00605C58" w:rsidRDefault="00B83815" w:rsidP="00C507AB">
      <w:pPr>
        <w:pStyle w:val="Sangradetextonormal"/>
        <w:spacing w:line="240" w:lineRule="auto"/>
        <w:ind w:firstLine="873"/>
        <w:rPr>
          <w:rFonts w:ascii="Arial Narrow" w:hAnsi="Arial Narrow"/>
          <w:sz w:val="22"/>
          <w:szCs w:val="22"/>
          <w:u w:val="single"/>
        </w:rPr>
      </w:pPr>
      <w:r w:rsidRPr="00605C58">
        <w:rPr>
          <w:rFonts w:ascii="Arial Narrow" w:hAnsi="Arial Narrow"/>
          <w:sz w:val="22"/>
          <w:szCs w:val="22"/>
        </w:rPr>
        <w:t xml:space="preserve"> </w:t>
      </w:r>
      <w:r w:rsidRPr="00605C58">
        <w:rPr>
          <w:rFonts w:ascii="Arial Narrow" w:hAnsi="Arial Narrow"/>
          <w:sz w:val="22"/>
          <w:szCs w:val="22"/>
          <w:u w:val="single"/>
        </w:rPr>
        <w:t>Balance Público con Inversió</w:t>
      </w:r>
      <w:r w:rsidR="00CC1E43">
        <w:rPr>
          <w:rFonts w:ascii="Arial Narrow" w:hAnsi="Arial Narrow"/>
          <w:sz w:val="22"/>
          <w:szCs w:val="22"/>
          <w:u w:val="single"/>
        </w:rPr>
        <w:t>n de Alto Impacto Económico y Social</w:t>
      </w:r>
    </w:p>
    <w:p w:rsidR="00B83815" w:rsidRPr="00605C58" w:rsidRDefault="00FD0606" w:rsidP="00B83815">
      <w:pPr>
        <w:pStyle w:val="Sangradetextonormal"/>
        <w:ind w:firstLine="876"/>
        <w:rPr>
          <w:rFonts w:ascii="Arial Narrow" w:hAnsi="Arial Narrow"/>
          <w:sz w:val="22"/>
          <w:szCs w:val="22"/>
        </w:rPr>
      </w:pPr>
      <w:r>
        <w:rPr>
          <w:rFonts w:ascii="Arial Narrow" w:hAnsi="Arial Narrow"/>
          <w:sz w:val="22"/>
          <w:szCs w:val="22"/>
        </w:rPr>
        <w:tab/>
      </w:r>
      <w:r>
        <w:rPr>
          <w:rFonts w:ascii="Arial Narrow" w:hAnsi="Arial Narrow"/>
          <w:sz w:val="22"/>
          <w:szCs w:val="22"/>
        </w:rPr>
        <w:tab/>
        <w:t>Importe previsto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8B3489">
        <w:rPr>
          <w:rFonts w:ascii="Arial Narrow" w:hAnsi="Arial Narrow"/>
          <w:sz w:val="22"/>
          <w:szCs w:val="22"/>
        </w:rPr>
        <w:t xml:space="preserve"> 718,193.5</w:t>
      </w:r>
    </w:p>
    <w:p w:rsidR="00B83815" w:rsidRPr="00605C58"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ab/>
      </w:r>
      <w:r w:rsidRPr="00605C58">
        <w:rPr>
          <w:rFonts w:ascii="Arial Narrow" w:hAnsi="Arial Narrow"/>
          <w:sz w:val="22"/>
          <w:szCs w:val="22"/>
        </w:rPr>
        <w:tab/>
        <w:t>Déficit generado</w:t>
      </w: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r>
      <w:r w:rsidR="008B3489" w:rsidRPr="008B3489">
        <w:rPr>
          <w:rFonts w:ascii="Arial Narrow" w:hAnsi="Arial Narrow"/>
          <w:sz w:val="22"/>
          <w:szCs w:val="22"/>
          <w:u w:val="single"/>
        </w:rPr>
        <w:t xml:space="preserve"> </w:t>
      </w:r>
      <w:r w:rsidR="008B3489">
        <w:rPr>
          <w:rFonts w:ascii="Arial Narrow" w:hAnsi="Arial Narrow"/>
          <w:sz w:val="22"/>
          <w:szCs w:val="22"/>
          <w:u w:val="single"/>
        </w:rPr>
        <w:t>757,789.6</w:t>
      </w:r>
    </w:p>
    <w:p w:rsidR="000833E2"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t>Diferencia:</w:t>
      </w:r>
      <w:r w:rsidRPr="00605C58">
        <w:rPr>
          <w:rFonts w:ascii="Arial Narrow" w:hAnsi="Arial Narrow"/>
          <w:sz w:val="22"/>
          <w:szCs w:val="22"/>
        </w:rPr>
        <w:tab/>
      </w:r>
      <w:r w:rsidRPr="00605C58">
        <w:rPr>
          <w:rFonts w:ascii="Arial Narrow" w:hAnsi="Arial Narrow"/>
          <w:sz w:val="22"/>
          <w:szCs w:val="22"/>
        </w:rPr>
        <w:tab/>
      </w:r>
      <w:r w:rsidR="008B3489" w:rsidRPr="008B3489">
        <w:rPr>
          <w:rFonts w:ascii="Arial Narrow" w:hAnsi="Arial Narrow"/>
          <w:sz w:val="22"/>
          <w:szCs w:val="22"/>
          <w:u w:val="double"/>
        </w:rPr>
        <w:t xml:space="preserve">   </w:t>
      </w:r>
      <w:r w:rsidR="008B3489">
        <w:rPr>
          <w:rFonts w:ascii="Arial Narrow" w:hAnsi="Arial Narrow"/>
          <w:sz w:val="22"/>
          <w:szCs w:val="22"/>
          <w:u w:val="double"/>
        </w:rPr>
        <w:t>39,596.1</w:t>
      </w:r>
      <w:r w:rsidRPr="00605C58">
        <w:rPr>
          <w:rFonts w:ascii="Arial Narrow" w:hAnsi="Arial Narrow"/>
          <w:sz w:val="22"/>
          <w:szCs w:val="22"/>
        </w:rPr>
        <w:tab/>
      </w:r>
    </w:p>
    <w:p w:rsidR="00B83815" w:rsidRPr="00605C58"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r>
    </w:p>
    <w:p w:rsidR="00B83815" w:rsidRPr="00605C58" w:rsidRDefault="00B83815" w:rsidP="00B83815">
      <w:pPr>
        <w:pStyle w:val="Sangradetextonormal"/>
        <w:ind w:firstLine="876"/>
        <w:rPr>
          <w:rFonts w:ascii="Arial Narrow" w:hAnsi="Arial Narrow"/>
          <w:sz w:val="22"/>
          <w:szCs w:val="22"/>
          <w:u w:val="single"/>
        </w:rPr>
      </w:pPr>
      <w:r w:rsidRPr="00605C58">
        <w:rPr>
          <w:rFonts w:ascii="Arial Narrow" w:hAnsi="Arial Narrow"/>
          <w:sz w:val="22"/>
          <w:szCs w:val="22"/>
          <w:u w:val="single"/>
        </w:rPr>
        <w:t>Balance Público sin</w:t>
      </w:r>
      <w:r w:rsidR="00CC1E43">
        <w:rPr>
          <w:rFonts w:ascii="Arial Narrow" w:hAnsi="Arial Narrow"/>
          <w:sz w:val="22"/>
          <w:szCs w:val="22"/>
          <w:u w:val="single"/>
        </w:rPr>
        <w:t xml:space="preserve"> Inversión de Alto Impacto Económico y Social</w:t>
      </w:r>
    </w:p>
    <w:p w:rsidR="00B83815" w:rsidRPr="00605C58"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ab/>
      </w:r>
      <w:r w:rsidRPr="00605C58">
        <w:rPr>
          <w:rFonts w:ascii="Arial Narrow" w:hAnsi="Arial Narrow"/>
          <w:sz w:val="22"/>
          <w:szCs w:val="22"/>
        </w:rPr>
        <w:tab/>
        <w:t>Importe previsto</w:t>
      </w: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r>
      <w:r w:rsidR="008B3489">
        <w:rPr>
          <w:rFonts w:ascii="Arial Narrow" w:hAnsi="Arial Narrow"/>
          <w:sz w:val="22"/>
          <w:szCs w:val="22"/>
        </w:rPr>
        <w:t xml:space="preserve"> 175,084.8</w:t>
      </w:r>
    </w:p>
    <w:p w:rsidR="00B83815" w:rsidRPr="00605C58" w:rsidRDefault="00FD0606" w:rsidP="00B83815">
      <w:pPr>
        <w:pStyle w:val="Sangradetextonormal"/>
        <w:ind w:firstLine="876"/>
        <w:rPr>
          <w:rFonts w:ascii="Arial Narrow" w:hAnsi="Arial Narrow"/>
          <w:sz w:val="22"/>
          <w:szCs w:val="22"/>
        </w:rPr>
      </w:pPr>
      <w:r>
        <w:rPr>
          <w:rFonts w:ascii="Arial Narrow" w:hAnsi="Arial Narrow"/>
          <w:sz w:val="22"/>
          <w:szCs w:val="22"/>
        </w:rPr>
        <w:tab/>
      </w:r>
      <w:r>
        <w:rPr>
          <w:rFonts w:ascii="Arial Narrow" w:hAnsi="Arial Narrow"/>
          <w:sz w:val="22"/>
          <w:szCs w:val="22"/>
        </w:rPr>
        <w:tab/>
        <w:t>Défic</w:t>
      </w:r>
      <w:r w:rsidR="00806C17">
        <w:rPr>
          <w:rFonts w:ascii="Arial Narrow" w:hAnsi="Arial Narrow"/>
          <w:sz w:val="22"/>
          <w:szCs w:val="22"/>
        </w:rPr>
        <w:t>it generado</w:t>
      </w:r>
      <w:r>
        <w:rPr>
          <w:rFonts w:ascii="Arial Narrow" w:hAnsi="Arial Narrow"/>
          <w:sz w:val="22"/>
          <w:szCs w:val="22"/>
        </w:rPr>
        <w:tab/>
      </w:r>
      <w:r w:rsidR="00806C17">
        <w:rPr>
          <w:rFonts w:ascii="Arial Narrow" w:hAnsi="Arial Narrow"/>
          <w:sz w:val="22"/>
          <w:szCs w:val="22"/>
        </w:rPr>
        <w:tab/>
      </w:r>
      <w:r w:rsidR="00B83815" w:rsidRPr="00605C58">
        <w:rPr>
          <w:rFonts w:ascii="Arial Narrow" w:hAnsi="Arial Narrow"/>
          <w:sz w:val="22"/>
          <w:szCs w:val="22"/>
        </w:rPr>
        <w:tab/>
      </w:r>
      <w:r w:rsidR="00CC1E43">
        <w:rPr>
          <w:rFonts w:ascii="Arial Narrow" w:hAnsi="Arial Narrow"/>
          <w:sz w:val="22"/>
          <w:szCs w:val="22"/>
        </w:rPr>
        <w:t xml:space="preserve"> </w:t>
      </w:r>
      <w:r w:rsidR="008B3489">
        <w:rPr>
          <w:rFonts w:ascii="Arial Narrow" w:hAnsi="Arial Narrow"/>
          <w:sz w:val="22"/>
          <w:szCs w:val="22"/>
          <w:u w:val="single"/>
        </w:rPr>
        <w:t>181,429.0</w:t>
      </w:r>
    </w:p>
    <w:p w:rsidR="00B83815" w:rsidRDefault="00B83815" w:rsidP="00B83815">
      <w:pPr>
        <w:pStyle w:val="Sangradetextonormal"/>
        <w:ind w:firstLine="876"/>
        <w:rPr>
          <w:rFonts w:ascii="Arial Narrow" w:hAnsi="Arial Narrow"/>
          <w:sz w:val="25"/>
        </w:rPr>
      </w:pP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t>Diferencia:</w:t>
      </w: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u w:val="double"/>
        </w:rPr>
        <w:t xml:space="preserve"> </w:t>
      </w:r>
      <w:r w:rsidR="00CC1E43">
        <w:rPr>
          <w:rFonts w:ascii="Arial Narrow" w:hAnsi="Arial Narrow"/>
          <w:sz w:val="22"/>
          <w:szCs w:val="22"/>
          <w:u w:val="double"/>
        </w:rPr>
        <w:t xml:space="preserve"> </w:t>
      </w:r>
      <w:r w:rsidR="008B3489">
        <w:rPr>
          <w:rFonts w:ascii="Arial Narrow" w:hAnsi="Arial Narrow"/>
          <w:sz w:val="22"/>
          <w:szCs w:val="22"/>
          <w:u w:val="double"/>
        </w:rPr>
        <w:t xml:space="preserve">   6,344.2</w:t>
      </w:r>
      <w:r w:rsidRPr="00992D26">
        <w:rPr>
          <w:rFonts w:ascii="Arial Narrow" w:hAnsi="Arial Narrow"/>
          <w:sz w:val="25"/>
        </w:rPr>
        <w:tab/>
      </w:r>
    </w:p>
    <w:p w:rsidR="001F14C4" w:rsidRDefault="001F14C4" w:rsidP="00B83815">
      <w:pPr>
        <w:pStyle w:val="Sangradetextonormal"/>
        <w:ind w:firstLine="876"/>
        <w:rPr>
          <w:rFonts w:ascii="Arial Narrow" w:hAnsi="Arial Narrow"/>
          <w:sz w:val="25"/>
        </w:rPr>
      </w:pPr>
    </w:p>
    <w:p w:rsidR="00F838A0" w:rsidRDefault="00F838A0" w:rsidP="00B83815">
      <w:pPr>
        <w:pStyle w:val="Sangradetextonormal"/>
        <w:ind w:firstLine="876"/>
        <w:rPr>
          <w:rFonts w:ascii="Arial Narrow" w:hAnsi="Arial Narrow"/>
          <w:sz w:val="25"/>
        </w:rPr>
      </w:pPr>
    </w:p>
    <w:p w:rsidR="00B83815" w:rsidRPr="00B818D5" w:rsidRDefault="00B83815" w:rsidP="00B83815">
      <w:pPr>
        <w:pStyle w:val="Sangradetextonormal"/>
        <w:numPr>
          <w:ilvl w:val="0"/>
          <w:numId w:val="11"/>
        </w:numPr>
        <w:spacing w:line="240" w:lineRule="auto"/>
        <w:jc w:val="left"/>
        <w:rPr>
          <w:rFonts w:ascii="Arial Narrow" w:hAnsi="Arial Narrow"/>
          <w:b/>
          <w:bCs/>
          <w:szCs w:val="28"/>
        </w:rPr>
      </w:pPr>
      <w:r w:rsidRPr="00B818D5">
        <w:rPr>
          <w:rFonts w:ascii="Arial Narrow" w:hAnsi="Arial Narrow"/>
          <w:b/>
          <w:bCs/>
          <w:szCs w:val="28"/>
        </w:rPr>
        <w:t>Balance Primario del Sector Público Presupuestario</w:t>
      </w:r>
    </w:p>
    <w:p w:rsidR="00B83815" w:rsidRDefault="00B83815" w:rsidP="00B83815">
      <w:pPr>
        <w:pStyle w:val="Sangradetextonormal"/>
        <w:ind w:firstLine="876"/>
        <w:rPr>
          <w:rFonts w:ascii="Arial Narrow" w:hAnsi="Arial Narrow"/>
          <w:b/>
          <w:sz w:val="25"/>
        </w:rPr>
      </w:pPr>
    </w:p>
    <w:p w:rsidR="00F838A0" w:rsidRDefault="00F838A0" w:rsidP="00B83815">
      <w:pPr>
        <w:pStyle w:val="Sangradetextonormal"/>
        <w:ind w:firstLine="876"/>
        <w:rPr>
          <w:rFonts w:ascii="Arial Narrow" w:hAnsi="Arial Narrow"/>
          <w:b/>
          <w:sz w:val="25"/>
        </w:rPr>
      </w:pPr>
    </w:p>
    <w:p w:rsidR="00B83815" w:rsidRDefault="00B53E1B" w:rsidP="00B53E1B">
      <w:pPr>
        <w:pStyle w:val="Sangradetextonormal"/>
        <w:rPr>
          <w:rFonts w:ascii="Arial Narrow" w:hAnsi="Arial Narrow"/>
          <w:sz w:val="22"/>
          <w:szCs w:val="22"/>
        </w:rPr>
      </w:pPr>
      <w:r w:rsidRPr="00B53E1B">
        <w:rPr>
          <w:rFonts w:ascii="Arial Narrow" w:hAnsi="Arial Narrow"/>
          <w:sz w:val="22"/>
          <w:szCs w:val="22"/>
        </w:rPr>
        <w:t>En 20</w:t>
      </w:r>
      <w:r w:rsidR="001F14C4">
        <w:rPr>
          <w:rFonts w:ascii="Arial Narrow" w:hAnsi="Arial Narrow"/>
          <w:sz w:val="22"/>
          <w:szCs w:val="22"/>
        </w:rPr>
        <w:t>21 e</w:t>
      </w:r>
      <w:r w:rsidR="001F14C4" w:rsidRPr="001F14C4">
        <w:rPr>
          <w:rFonts w:ascii="Arial Narrow" w:hAnsi="Arial Narrow"/>
          <w:sz w:val="22"/>
          <w:szCs w:val="22"/>
        </w:rPr>
        <w:t xml:space="preserve">l balance primario del Sector Público Presupuestario, definido como la diferencia entre los ingresos totales y los gastos distintos al costo financiero, registró un déficit de 71 mil 914 millones de pesos (0.3% del PIB), originado por los mayores gastos para impulsar la reactivación económica y las condiciones </w:t>
      </w:r>
      <w:r w:rsidR="001F14C4" w:rsidRPr="001F14C4">
        <w:rPr>
          <w:rFonts w:ascii="Arial Narrow" w:hAnsi="Arial Narrow"/>
          <w:sz w:val="22"/>
          <w:szCs w:val="22"/>
        </w:rPr>
        <w:lastRenderedPageBreak/>
        <w:t>adversas señaladas anteriormente, sin relajar la disciplina fiscal. El resultado se compara con el superávit previsto originalmente de 6 mil 205 millones de pesos (0.0% del PIB) y con el superávit registrado el año anterior de 29 mil 651 millones de pesos (0.1% del PIB).</w:t>
      </w:r>
    </w:p>
    <w:p w:rsidR="00B53E1B" w:rsidRDefault="00B53E1B" w:rsidP="00B53E1B">
      <w:pPr>
        <w:pStyle w:val="Sangradetextonormal"/>
        <w:rPr>
          <w:rFonts w:ascii="Arial Narrow" w:hAnsi="Arial Narrow"/>
          <w:sz w:val="22"/>
          <w:szCs w:val="22"/>
        </w:rPr>
      </w:pPr>
    </w:p>
    <w:p w:rsidR="00F838A0" w:rsidRDefault="00F838A0" w:rsidP="00B53E1B">
      <w:pPr>
        <w:pStyle w:val="Sangradetextonormal"/>
        <w:rPr>
          <w:rFonts w:ascii="Arial Narrow" w:hAnsi="Arial Narrow"/>
          <w:sz w:val="22"/>
          <w:szCs w:val="22"/>
        </w:rPr>
      </w:pPr>
    </w:p>
    <w:p w:rsidR="00B83815" w:rsidRPr="000616EB" w:rsidRDefault="00B83815" w:rsidP="00B83815">
      <w:pPr>
        <w:pStyle w:val="Sangradetextonormal"/>
        <w:ind w:firstLine="0"/>
        <w:jc w:val="left"/>
        <w:rPr>
          <w:rFonts w:ascii="Arial Narrow" w:hAnsi="Arial Narrow"/>
          <w:b/>
          <w:bCs/>
          <w:szCs w:val="28"/>
        </w:rPr>
      </w:pPr>
      <w:r w:rsidRPr="000616EB">
        <w:rPr>
          <w:rFonts w:ascii="Arial Narrow" w:hAnsi="Arial Narrow"/>
          <w:b/>
          <w:bCs/>
          <w:szCs w:val="28"/>
        </w:rPr>
        <w:t>2.1.2.- Ámbito Estatal</w:t>
      </w:r>
    </w:p>
    <w:p w:rsidR="00F759B1" w:rsidRDefault="00F759B1" w:rsidP="00D95FAE">
      <w:pPr>
        <w:pStyle w:val="Sangradetextonormal"/>
        <w:spacing w:line="240" w:lineRule="auto"/>
        <w:ind w:firstLine="0"/>
        <w:jc w:val="left"/>
        <w:rPr>
          <w:rFonts w:ascii="Arial Narrow" w:hAnsi="Arial Narrow"/>
          <w:b/>
          <w:bCs/>
          <w:szCs w:val="28"/>
        </w:rPr>
      </w:pPr>
    </w:p>
    <w:p w:rsidR="00AB60C4" w:rsidRDefault="00AB60C4" w:rsidP="00D95FAE">
      <w:pPr>
        <w:pStyle w:val="Sangradetextonormal"/>
        <w:spacing w:line="240" w:lineRule="auto"/>
        <w:ind w:firstLine="0"/>
        <w:jc w:val="left"/>
        <w:rPr>
          <w:rFonts w:ascii="Arial Narrow" w:hAnsi="Arial Narrow"/>
          <w:b/>
          <w:bCs/>
          <w:szCs w:val="28"/>
        </w:rPr>
      </w:pPr>
    </w:p>
    <w:p w:rsidR="00B83815" w:rsidRPr="000616EB" w:rsidRDefault="00B83815" w:rsidP="00B83815">
      <w:pPr>
        <w:pStyle w:val="Sangradetextonormal"/>
        <w:ind w:firstLine="0"/>
        <w:jc w:val="left"/>
        <w:rPr>
          <w:rFonts w:ascii="Arial Narrow" w:hAnsi="Arial Narrow"/>
          <w:b/>
          <w:bCs/>
          <w:szCs w:val="28"/>
        </w:rPr>
      </w:pPr>
      <w:r w:rsidRPr="000616EB">
        <w:rPr>
          <w:rFonts w:ascii="Arial Narrow" w:hAnsi="Arial Narrow"/>
          <w:b/>
          <w:bCs/>
          <w:szCs w:val="28"/>
        </w:rPr>
        <w:t>2.1.2.1- Política Económica</w:t>
      </w:r>
    </w:p>
    <w:p w:rsidR="00B83815" w:rsidRPr="00D12CD8" w:rsidRDefault="00B83815" w:rsidP="00B83815">
      <w:pPr>
        <w:pStyle w:val="Sangradetextonormal"/>
        <w:spacing w:line="240" w:lineRule="auto"/>
        <w:ind w:firstLine="873"/>
        <w:rPr>
          <w:rFonts w:ascii="Arial Narrow" w:hAnsi="Arial Narrow"/>
          <w:b/>
          <w:bCs/>
          <w:sz w:val="20"/>
          <w:szCs w:val="32"/>
        </w:rPr>
      </w:pPr>
      <w:r w:rsidRPr="00992D26">
        <w:rPr>
          <w:rFonts w:ascii="Arial Narrow" w:hAnsi="Arial Narrow"/>
          <w:b/>
          <w:bCs/>
          <w:sz w:val="32"/>
          <w:szCs w:val="32"/>
        </w:rPr>
        <w:tab/>
      </w:r>
    </w:p>
    <w:p w:rsidR="00B83815" w:rsidRPr="000616EB" w:rsidRDefault="00B83815" w:rsidP="00B83815">
      <w:pPr>
        <w:pStyle w:val="Sangradetextonormal"/>
        <w:ind w:firstLine="876"/>
        <w:rPr>
          <w:rFonts w:ascii="Arial Narrow" w:hAnsi="Arial Narrow"/>
          <w:sz w:val="22"/>
          <w:szCs w:val="22"/>
        </w:rPr>
      </w:pPr>
      <w:r w:rsidRPr="000616EB">
        <w:rPr>
          <w:rFonts w:ascii="Arial Narrow" w:hAnsi="Arial Narrow"/>
          <w:sz w:val="22"/>
          <w:szCs w:val="22"/>
        </w:rPr>
        <w:t>El Plan Estatal de Desarro</w:t>
      </w:r>
      <w:r w:rsidR="00E32C16">
        <w:rPr>
          <w:rFonts w:ascii="Arial Narrow" w:hAnsi="Arial Narrow"/>
          <w:sz w:val="22"/>
          <w:szCs w:val="22"/>
        </w:rPr>
        <w:t>llo de Nayarit 2017 – 2021</w:t>
      </w:r>
      <w:r w:rsidR="006B18BE">
        <w:rPr>
          <w:rFonts w:ascii="Arial Narrow" w:hAnsi="Arial Narrow"/>
          <w:sz w:val="22"/>
          <w:szCs w:val="22"/>
        </w:rPr>
        <w:t xml:space="preserve"> estableció</w:t>
      </w:r>
      <w:r w:rsidR="00E32C16">
        <w:rPr>
          <w:rFonts w:ascii="Arial Narrow" w:hAnsi="Arial Narrow"/>
          <w:sz w:val="22"/>
          <w:szCs w:val="22"/>
        </w:rPr>
        <w:t xml:space="preserve"> como una de sus visiones y misiones</w:t>
      </w:r>
      <w:r w:rsidRPr="000616EB">
        <w:rPr>
          <w:rFonts w:ascii="Arial Narrow" w:hAnsi="Arial Narrow"/>
          <w:sz w:val="22"/>
          <w:szCs w:val="22"/>
        </w:rPr>
        <w:t xml:space="preserve"> </w:t>
      </w:r>
      <w:r w:rsidR="00E32C16">
        <w:rPr>
          <w:rFonts w:ascii="Arial Narrow" w:hAnsi="Arial Narrow"/>
          <w:sz w:val="22"/>
          <w:szCs w:val="22"/>
        </w:rPr>
        <w:t>asumir</w:t>
      </w:r>
      <w:r w:rsidR="00E32C16" w:rsidRPr="00E32C16">
        <w:rPr>
          <w:rFonts w:ascii="Arial Narrow" w:hAnsi="Arial Narrow"/>
          <w:sz w:val="22"/>
          <w:szCs w:val="22"/>
        </w:rPr>
        <w:t xml:space="preserve"> el compromiso institucional de construir un modelo de gobierno a fin de incidir en el mejoramiento de la </w:t>
      </w:r>
      <w:r w:rsidR="00E32C16">
        <w:rPr>
          <w:rFonts w:ascii="Arial Narrow" w:hAnsi="Arial Narrow"/>
          <w:sz w:val="22"/>
          <w:szCs w:val="22"/>
        </w:rPr>
        <w:t>calidad de vida de la población</w:t>
      </w:r>
      <w:r w:rsidR="00E32C16" w:rsidRPr="00E32C16">
        <w:rPr>
          <w:rFonts w:ascii="Arial Narrow" w:hAnsi="Arial Narrow"/>
          <w:sz w:val="22"/>
          <w:szCs w:val="22"/>
        </w:rPr>
        <w:t xml:space="preserve"> y lograr el pleno aprovechamiento del potencial del territorio, al tiempo de equilibrar y reducir las disparidades sociales, económica y de infraestructura existente entre los distintos municipios y regiones del Estado de Nayarit.</w:t>
      </w:r>
    </w:p>
    <w:p w:rsidR="00D12CD8" w:rsidRPr="00D12CD8" w:rsidRDefault="00D12CD8" w:rsidP="00E32C16">
      <w:pPr>
        <w:pStyle w:val="Sangradetextonormal"/>
        <w:ind w:firstLine="876"/>
        <w:rPr>
          <w:rFonts w:ascii="Arial Narrow" w:hAnsi="Arial Narrow"/>
          <w:sz w:val="18"/>
          <w:szCs w:val="22"/>
        </w:rPr>
      </w:pPr>
    </w:p>
    <w:p w:rsidR="00E32C16" w:rsidRDefault="00B83815" w:rsidP="00E32C16">
      <w:pPr>
        <w:pStyle w:val="Sangradetextonormal"/>
        <w:ind w:firstLine="876"/>
        <w:rPr>
          <w:rFonts w:ascii="Arial Narrow" w:hAnsi="Arial Narrow"/>
          <w:sz w:val="22"/>
          <w:szCs w:val="22"/>
        </w:rPr>
      </w:pPr>
      <w:r w:rsidRPr="000616EB">
        <w:rPr>
          <w:rFonts w:ascii="Arial Narrow" w:hAnsi="Arial Narrow"/>
          <w:sz w:val="22"/>
          <w:szCs w:val="22"/>
        </w:rPr>
        <w:t xml:space="preserve">En correspondencia con lo expresado en el párrafo anterior, </w:t>
      </w:r>
      <w:r w:rsidR="00E32C16" w:rsidRPr="00E32C16">
        <w:rPr>
          <w:rFonts w:ascii="Arial Narrow" w:hAnsi="Arial Narrow"/>
          <w:sz w:val="22"/>
          <w:szCs w:val="22"/>
        </w:rPr>
        <w:t>la política de desarrollo del Estado de Nayarit consiste en fomentar acciones y medidas que permitan a la población urbana y rural contar con un nivel básico de equipamiento y servicios de salud, educación y asistencia social, que garanticen un adecuado desarrollo social y humano, a la vez que brinde capacitación técnica a la población, misma que le permita, por sus propios medios, generar oportunidades de desarrollo productivo para que se pueda incorporar a las estrategias de desarrollo económico local.</w:t>
      </w:r>
    </w:p>
    <w:p w:rsidR="00E32C16" w:rsidRPr="00E32C16" w:rsidRDefault="00E32C16" w:rsidP="00E32C16">
      <w:pPr>
        <w:pStyle w:val="Sangradetextonormal"/>
        <w:ind w:firstLine="876"/>
        <w:rPr>
          <w:rFonts w:ascii="Arial Narrow" w:hAnsi="Arial Narrow"/>
          <w:sz w:val="22"/>
          <w:szCs w:val="22"/>
        </w:rPr>
      </w:pPr>
    </w:p>
    <w:p w:rsidR="00E32C16" w:rsidRDefault="00E32C16" w:rsidP="00E32C16">
      <w:pPr>
        <w:pStyle w:val="Sangradetextonormal"/>
        <w:ind w:firstLine="876"/>
        <w:rPr>
          <w:rFonts w:ascii="Arial Narrow" w:hAnsi="Arial Narrow"/>
          <w:sz w:val="22"/>
          <w:szCs w:val="22"/>
        </w:rPr>
      </w:pPr>
      <w:r>
        <w:rPr>
          <w:rFonts w:ascii="Arial Narrow" w:hAnsi="Arial Narrow"/>
          <w:sz w:val="22"/>
          <w:szCs w:val="22"/>
        </w:rPr>
        <w:t>En este sentido se propuso</w:t>
      </w:r>
      <w:r w:rsidRPr="00E32C16">
        <w:rPr>
          <w:rFonts w:ascii="Arial Narrow" w:hAnsi="Arial Narrow"/>
          <w:sz w:val="22"/>
          <w:szCs w:val="22"/>
        </w:rPr>
        <w:t xml:space="preserve"> poner en marcha un nuevo modelo de gestión pública orientado a resultados y programas de mayor impacto económico y social. </w:t>
      </w:r>
    </w:p>
    <w:p w:rsidR="00603ADC" w:rsidRDefault="00603ADC" w:rsidP="00E32C16">
      <w:pPr>
        <w:pStyle w:val="Sangradetextonormal"/>
        <w:ind w:firstLine="876"/>
        <w:rPr>
          <w:rFonts w:ascii="Arial Narrow" w:hAnsi="Arial Narrow"/>
          <w:sz w:val="22"/>
          <w:szCs w:val="22"/>
        </w:rPr>
      </w:pPr>
    </w:p>
    <w:p w:rsidR="00603ADC" w:rsidRDefault="00603ADC" w:rsidP="00E32C16">
      <w:pPr>
        <w:pStyle w:val="Sangradetextonormal"/>
        <w:ind w:firstLine="876"/>
        <w:rPr>
          <w:rFonts w:ascii="Arial Narrow" w:hAnsi="Arial Narrow"/>
          <w:sz w:val="22"/>
          <w:szCs w:val="22"/>
        </w:rPr>
      </w:pPr>
      <w:r>
        <w:rPr>
          <w:rFonts w:ascii="Arial Narrow" w:hAnsi="Arial Narrow"/>
          <w:sz w:val="22"/>
          <w:szCs w:val="22"/>
        </w:rPr>
        <w:t>Para la actual</w:t>
      </w:r>
      <w:r w:rsidRPr="00603ADC">
        <w:rPr>
          <w:rFonts w:ascii="Arial Narrow" w:hAnsi="Arial Narrow"/>
          <w:sz w:val="22"/>
          <w:szCs w:val="22"/>
        </w:rPr>
        <w:t xml:space="preserve"> Administración el esfuerzo por realizar considera y ubica a la persona, a la familia y a la colectividad, como el centro de atención y prioridad de sus políticas y programas públicos. No sólo nos proponemos mejorar las condiciones de salud, alimentación, educación, desarrollo social integral y medio </w:t>
      </w:r>
      <w:r w:rsidRPr="00603ADC">
        <w:rPr>
          <w:rFonts w:ascii="Arial Narrow" w:hAnsi="Arial Narrow"/>
          <w:sz w:val="22"/>
          <w:szCs w:val="22"/>
        </w:rPr>
        <w:lastRenderedPageBreak/>
        <w:t>ambiente; sino que, estamos decididos a realizar el esfuerzo necesario y durante el tiempo que se requiera para restablecer el tejido social con acciones preventivas sobre cuya base mejore el entorno y las condiciones de seguridad y paz en la entidad.</w:t>
      </w:r>
    </w:p>
    <w:p w:rsidR="00603ADC" w:rsidRDefault="00603ADC" w:rsidP="00E32C16">
      <w:pPr>
        <w:pStyle w:val="Sangradetextonormal"/>
        <w:ind w:firstLine="876"/>
        <w:rPr>
          <w:rFonts w:ascii="Arial Narrow" w:hAnsi="Arial Narrow"/>
          <w:sz w:val="22"/>
          <w:szCs w:val="22"/>
        </w:rPr>
      </w:pPr>
    </w:p>
    <w:p w:rsidR="00603ADC" w:rsidRDefault="00603ADC" w:rsidP="00E32C16">
      <w:pPr>
        <w:pStyle w:val="Sangradetextonormal"/>
        <w:ind w:firstLine="876"/>
        <w:rPr>
          <w:rFonts w:ascii="Arial Narrow" w:hAnsi="Arial Narrow"/>
          <w:sz w:val="22"/>
          <w:szCs w:val="22"/>
        </w:rPr>
      </w:pPr>
      <w:r>
        <w:rPr>
          <w:rFonts w:ascii="Arial Narrow" w:hAnsi="Arial Narrow"/>
          <w:sz w:val="22"/>
          <w:szCs w:val="22"/>
        </w:rPr>
        <w:t xml:space="preserve">Al respecto, se debe asumir </w:t>
      </w:r>
      <w:r w:rsidRPr="00603ADC">
        <w:rPr>
          <w:rFonts w:ascii="Arial Narrow" w:hAnsi="Arial Narrow"/>
          <w:sz w:val="22"/>
          <w:szCs w:val="22"/>
        </w:rPr>
        <w:t>una postura consciente y explícita de que el destino de la entidad depende esencialmente del esfuerzo que realicemos los ciudadanos, trabajadores de la ciudad y del campo, empresas micro, pequeñas, medianas y grandes, así como los grupos sociales organizados de Nayarit. Nadie fuera de Nayarit conoce mejor nuestras circunstancias, y nadie mejor que nosotros conoce y puede desarrollar mejor nuestras potencialidades para definir y forjar el destino de sus habitantes.</w:t>
      </w:r>
    </w:p>
    <w:p w:rsidR="00603ADC" w:rsidRDefault="00603ADC" w:rsidP="00E32C16">
      <w:pPr>
        <w:pStyle w:val="Sangradetextonormal"/>
        <w:ind w:firstLine="876"/>
        <w:rPr>
          <w:rFonts w:ascii="Arial Narrow" w:hAnsi="Arial Narrow"/>
          <w:sz w:val="22"/>
          <w:szCs w:val="22"/>
        </w:rPr>
      </w:pPr>
    </w:p>
    <w:p w:rsidR="00603ADC" w:rsidRDefault="00603ADC" w:rsidP="00D12CD8">
      <w:pPr>
        <w:pStyle w:val="Sangradetextonormal"/>
        <w:ind w:firstLine="876"/>
        <w:rPr>
          <w:rFonts w:ascii="Arial Narrow" w:hAnsi="Arial Narrow"/>
          <w:sz w:val="22"/>
          <w:szCs w:val="22"/>
        </w:rPr>
      </w:pPr>
      <w:r w:rsidRPr="00603ADC">
        <w:rPr>
          <w:rFonts w:ascii="Arial Narrow" w:hAnsi="Arial Narrow"/>
          <w:sz w:val="22"/>
          <w:szCs w:val="22"/>
        </w:rPr>
        <w:t>Desde otra perspectiva, tenemos una tradición y potencial agroindustrial y podemos convertirnos en un importante polo de atracción d</w:t>
      </w:r>
      <w:r w:rsidR="00D12CD8">
        <w:rPr>
          <w:rFonts w:ascii="Arial Narrow" w:hAnsi="Arial Narrow"/>
          <w:sz w:val="22"/>
          <w:szCs w:val="22"/>
        </w:rPr>
        <w:t>e inversiones y de tecnologías, en virtud de que</w:t>
      </w:r>
      <w:r w:rsidRPr="00603ADC">
        <w:rPr>
          <w:rFonts w:ascii="Arial Narrow" w:hAnsi="Arial Narrow"/>
          <w:sz w:val="22"/>
          <w:szCs w:val="22"/>
        </w:rPr>
        <w:t xml:space="preserve"> poseemos recursos naturales y la infraestructura para la consolidación de uno de los principales destinos turísticos del país; a su vez, está la visión de acelerar la actualización tecnológica de los sectores productivos, y el compromiso con el cuidado y protección del medio ambiente; esta visión apoyará la definición de estrategias a impulsar por este gobierno.</w:t>
      </w:r>
    </w:p>
    <w:p w:rsidR="00603ADC" w:rsidRDefault="00603ADC" w:rsidP="00E32C16">
      <w:pPr>
        <w:pStyle w:val="Sangradetextonormal"/>
        <w:ind w:firstLine="876"/>
        <w:rPr>
          <w:rFonts w:ascii="Arial Narrow" w:hAnsi="Arial Narrow"/>
          <w:sz w:val="22"/>
          <w:szCs w:val="22"/>
        </w:rPr>
      </w:pPr>
    </w:p>
    <w:p w:rsidR="00603ADC" w:rsidRDefault="00603ADC" w:rsidP="00E32C16">
      <w:pPr>
        <w:pStyle w:val="Sangradetextonormal"/>
        <w:ind w:firstLine="876"/>
        <w:rPr>
          <w:rFonts w:ascii="Arial Narrow" w:hAnsi="Arial Narrow"/>
          <w:sz w:val="22"/>
          <w:szCs w:val="22"/>
        </w:rPr>
      </w:pPr>
      <w:r>
        <w:rPr>
          <w:rFonts w:ascii="Arial Narrow" w:hAnsi="Arial Narrow"/>
          <w:sz w:val="22"/>
          <w:szCs w:val="22"/>
        </w:rPr>
        <w:t>Para efecto de potenciar el desarrollo económico, de manera inicial se tiene</w:t>
      </w:r>
      <w:r w:rsidRPr="00603ADC">
        <w:rPr>
          <w:rFonts w:ascii="Arial Narrow" w:hAnsi="Arial Narrow"/>
          <w:sz w:val="22"/>
          <w:szCs w:val="22"/>
        </w:rPr>
        <w:t xml:space="preserve"> </w:t>
      </w:r>
      <w:r>
        <w:rPr>
          <w:rFonts w:ascii="Arial Narrow" w:hAnsi="Arial Narrow"/>
          <w:sz w:val="22"/>
          <w:szCs w:val="22"/>
        </w:rPr>
        <w:t>considerada</w:t>
      </w:r>
      <w:r w:rsidRPr="00603ADC">
        <w:rPr>
          <w:rFonts w:ascii="Arial Narrow" w:hAnsi="Arial Narrow"/>
          <w:sz w:val="22"/>
          <w:szCs w:val="22"/>
        </w:rPr>
        <w:t xml:space="preserve"> la necesidad de reordenar el funcionamiento del aparato de gobierno, la manera en que se proyectan y ejecutan las acciones y las obras; una urgente actualización del marco institucional que describa con claridad las funciones, simplifique los procedimientos y asigne apropiadamente responsabilidades entre áreas y funcionarios; una operación del aparato gubernamental basado en herramientas y tecnologías modernas que respondan con calidad y prontitud en toda la entidad a la demanda de servicios y trámites del gobierno; y, de manera</w:t>
      </w:r>
      <w:r>
        <w:rPr>
          <w:rFonts w:ascii="Arial Narrow" w:hAnsi="Arial Narrow"/>
          <w:sz w:val="22"/>
          <w:szCs w:val="22"/>
        </w:rPr>
        <w:t xml:space="preserve"> </w:t>
      </w:r>
      <w:r w:rsidRPr="00603ADC">
        <w:rPr>
          <w:rFonts w:ascii="Arial Narrow" w:hAnsi="Arial Narrow"/>
          <w:sz w:val="22"/>
          <w:szCs w:val="22"/>
        </w:rPr>
        <w:t>indeclinable, arraigar en toda la administración del Estado el marco de transparencia y de combate a las prácticas contrarias a las leyes y las normas que encarecen su funcionamiento, provocan desperdicio de recursos y la ejecución de programas desvinculados y de baja efectividad e impacto.</w:t>
      </w:r>
    </w:p>
    <w:p w:rsidR="00E32C16" w:rsidRDefault="00E32C16" w:rsidP="00E32C16">
      <w:pPr>
        <w:pStyle w:val="Sangradetextonormal"/>
        <w:ind w:firstLine="876"/>
        <w:rPr>
          <w:rFonts w:ascii="Arial Narrow" w:hAnsi="Arial Narrow"/>
          <w:sz w:val="22"/>
          <w:szCs w:val="22"/>
        </w:rPr>
      </w:pPr>
    </w:p>
    <w:p w:rsidR="00D95FAE" w:rsidRDefault="00E32C16" w:rsidP="00E32C16">
      <w:pPr>
        <w:pStyle w:val="Sangradetextonormal"/>
        <w:ind w:firstLine="876"/>
        <w:rPr>
          <w:rFonts w:ascii="Arial Narrow" w:hAnsi="Arial Narrow"/>
          <w:sz w:val="22"/>
          <w:szCs w:val="22"/>
        </w:rPr>
      </w:pPr>
      <w:r w:rsidRPr="00E32C16">
        <w:rPr>
          <w:rFonts w:ascii="Arial Narrow" w:hAnsi="Arial Narrow"/>
          <w:sz w:val="22"/>
          <w:szCs w:val="22"/>
        </w:rPr>
        <w:t>Se trata de instaurar un gobierno austero, eficiente, transparente y responsable con servidores públicos capacitados y comprometidos que se evalúan como parte de un Servicio Público Profesional.</w:t>
      </w:r>
    </w:p>
    <w:p w:rsidR="00603ADC" w:rsidRDefault="00603ADC" w:rsidP="00E32C16">
      <w:pPr>
        <w:pStyle w:val="Sangradetextonormal"/>
        <w:ind w:firstLine="876"/>
        <w:rPr>
          <w:rFonts w:ascii="Arial Narrow" w:hAnsi="Arial Narrow"/>
          <w:sz w:val="22"/>
          <w:szCs w:val="22"/>
        </w:rPr>
      </w:pPr>
    </w:p>
    <w:p w:rsidR="00B83815" w:rsidRDefault="00B83815" w:rsidP="006B18BE">
      <w:pPr>
        <w:pStyle w:val="Sangradetextonormal"/>
        <w:ind w:firstLine="876"/>
        <w:rPr>
          <w:rFonts w:ascii="Arial Narrow" w:hAnsi="Arial Narrow"/>
          <w:sz w:val="22"/>
          <w:szCs w:val="22"/>
        </w:rPr>
      </w:pPr>
      <w:r w:rsidRPr="000616EB">
        <w:rPr>
          <w:rFonts w:ascii="Arial Narrow" w:hAnsi="Arial Narrow"/>
          <w:sz w:val="22"/>
          <w:szCs w:val="22"/>
        </w:rPr>
        <w:lastRenderedPageBreak/>
        <w:t xml:space="preserve">Al respecto, los principales objetivos, estrategias y metas de la Política </w:t>
      </w:r>
      <w:r w:rsidR="00E17B10">
        <w:rPr>
          <w:rFonts w:ascii="Arial Narrow" w:hAnsi="Arial Narrow"/>
          <w:sz w:val="22"/>
          <w:szCs w:val="22"/>
        </w:rPr>
        <w:t xml:space="preserve">Económica fijados por la </w:t>
      </w:r>
      <w:r w:rsidRPr="000616EB">
        <w:rPr>
          <w:rFonts w:ascii="Arial Narrow" w:hAnsi="Arial Narrow"/>
          <w:sz w:val="22"/>
          <w:szCs w:val="22"/>
        </w:rPr>
        <w:t>administración</w:t>
      </w:r>
      <w:r w:rsidR="00E17B10">
        <w:rPr>
          <w:rFonts w:ascii="Arial Narrow" w:hAnsi="Arial Narrow"/>
          <w:sz w:val="22"/>
          <w:szCs w:val="22"/>
        </w:rPr>
        <w:t xml:space="preserve"> estatal</w:t>
      </w:r>
      <w:r w:rsidRPr="000616EB">
        <w:rPr>
          <w:rFonts w:ascii="Arial Narrow" w:hAnsi="Arial Narrow"/>
          <w:sz w:val="22"/>
          <w:szCs w:val="22"/>
        </w:rPr>
        <w:t xml:space="preserve">, se presentan en el siguiente esquema: </w:t>
      </w:r>
    </w:p>
    <w:p w:rsidR="00F838A0" w:rsidRDefault="00F838A0" w:rsidP="006B18BE">
      <w:pPr>
        <w:pStyle w:val="Sangradetextonormal"/>
        <w:ind w:firstLine="876"/>
        <w:rPr>
          <w:rFonts w:ascii="Arial Narrow" w:hAnsi="Arial Narrow"/>
          <w:sz w:val="22"/>
          <w:szCs w:val="22"/>
        </w:rPr>
      </w:pPr>
    </w:p>
    <w:p w:rsidR="00B83815" w:rsidRPr="00992D26" w:rsidRDefault="00B83815" w:rsidP="00B83815">
      <w:pPr>
        <w:pStyle w:val="Texto"/>
        <w:ind w:firstLine="0"/>
        <w:jc w:val="center"/>
        <w:outlineLvl w:val="0"/>
        <w:rPr>
          <w:rFonts w:ascii="Arial Narrow" w:hAnsi="Arial Narrow"/>
          <w:b/>
          <w:sz w:val="20"/>
          <w:szCs w:val="20"/>
        </w:rPr>
      </w:pPr>
      <w:r w:rsidRPr="00992D26">
        <w:rPr>
          <w:rFonts w:ascii="Arial Narrow" w:hAnsi="Arial Narrow"/>
          <w:b/>
          <w:sz w:val="20"/>
          <w:szCs w:val="20"/>
        </w:rPr>
        <w:t xml:space="preserve">POLÍTICA ECONÓMICA </w:t>
      </w:r>
    </w:p>
    <w:p w:rsidR="00B83815" w:rsidRPr="00992D26" w:rsidRDefault="00B83815" w:rsidP="00B83815">
      <w:pPr>
        <w:pStyle w:val="Texto"/>
        <w:ind w:firstLine="0"/>
        <w:jc w:val="center"/>
        <w:outlineLvl w:val="0"/>
        <w:rPr>
          <w:rFonts w:ascii="Arial Narrow" w:hAnsi="Arial Narrow"/>
          <w:b/>
        </w:rPr>
      </w:pPr>
    </w:p>
    <w:tbl>
      <w:tblPr>
        <w:tblW w:w="8712" w:type="dxa"/>
        <w:jc w:val="center"/>
        <w:tblInd w:w="144" w:type="dxa"/>
        <w:tblBorders>
          <w:top w:val="single" w:sz="12" w:space="0" w:color="auto"/>
          <w:bottom w:val="single" w:sz="12"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B83815" w:rsidRPr="00992D26" w:rsidTr="00934835">
        <w:trPr>
          <w:cantSplit/>
          <w:jc w:val="center"/>
        </w:trPr>
        <w:tc>
          <w:tcPr>
            <w:tcW w:w="9639" w:type="dxa"/>
            <w:noWrap/>
          </w:tcPr>
          <w:p w:rsidR="00B83815" w:rsidRPr="00992D26" w:rsidRDefault="00B83815" w:rsidP="00934835">
            <w:pPr>
              <w:pStyle w:val="Texto"/>
              <w:ind w:firstLine="0"/>
              <w:rPr>
                <w:rFonts w:ascii="Arial Narrow" w:hAnsi="Arial Narrow"/>
                <w:b/>
              </w:rPr>
            </w:pPr>
            <w:r w:rsidRPr="00992D26">
              <w:rPr>
                <w:rFonts w:ascii="Arial Narrow" w:hAnsi="Arial Narrow"/>
                <w:b/>
              </w:rPr>
              <w:t>OBJETIVOS</w:t>
            </w:r>
          </w:p>
          <w:p w:rsidR="00B83815" w:rsidRPr="00992D26" w:rsidRDefault="00002DD9" w:rsidP="00934835">
            <w:pPr>
              <w:pStyle w:val="Texto"/>
              <w:ind w:left="343" w:firstLine="0"/>
              <w:rPr>
                <w:rFonts w:ascii="Arial Narrow" w:hAnsi="Arial Narrow"/>
              </w:rPr>
            </w:pPr>
            <w:r>
              <w:rPr>
                <w:rFonts w:ascii="Arial Narrow" w:hAnsi="Arial Narrow"/>
              </w:rPr>
              <w:t>●</w:t>
            </w:r>
            <w:r>
              <w:rPr>
                <w:rFonts w:ascii="Arial Narrow" w:hAnsi="Arial Narrow"/>
              </w:rPr>
              <w:tab/>
              <w:t>Instaurar el nuevo modelo de infraestructura para el desarrollo sustentable.</w:t>
            </w:r>
          </w:p>
          <w:p w:rsidR="00B83815" w:rsidRPr="00992D26" w:rsidRDefault="00002DD9" w:rsidP="00934835">
            <w:pPr>
              <w:pStyle w:val="Texto"/>
              <w:ind w:left="343" w:firstLine="0"/>
              <w:rPr>
                <w:rFonts w:ascii="Arial Narrow" w:hAnsi="Arial Narrow"/>
              </w:rPr>
            </w:pPr>
            <w:r>
              <w:rPr>
                <w:rFonts w:ascii="Arial Narrow" w:hAnsi="Arial Narrow"/>
              </w:rPr>
              <w:t>●</w:t>
            </w:r>
            <w:r>
              <w:rPr>
                <w:rFonts w:ascii="Arial Narrow" w:hAnsi="Arial Narrow"/>
              </w:rPr>
              <w:tab/>
              <w:t>Detonar procesos de colaboración e intervención de todos los sectores productivos.</w:t>
            </w:r>
          </w:p>
          <w:p w:rsidR="00B83815" w:rsidRDefault="00B83815" w:rsidP="00934835">
            <w:pPr>
              <w:pStyle w:val="Texto"/>
              <w:ind w:left="343" w:firstLine="0"/>
              <w:rPr>
                <w:rFonts w:ascii="Arial Narrow" w:hAnsi="Arial Narrow"/>
              </w:rPr>
            </w:pPr>
            <w:r w:rsidRPr="00992D26">
              <w:rPr>
                <w:rFonts w:ascii="Arial Narrow" w:hAnsi="Arial Narrow"/>
              </w:rPr>
              <w:t>●</w:t>
            </w:r>
            <w:r w:rsidRPr="00992D26">
              <w:rPr>
                <w:rFonts w:ascii="Arial Narrow" w:hAnsi="Arial Narrow"/>
              </w:rPr>
              <w:tab/>
            </w:r>
            <w:r w:rsidR="00002DD9">
              <w:rPr>
                <w:rFonts w:ascii="Arial Narrow" w:hAnsi="Arial Narrow"/>
              </w:rPr>
              <w:t>Lograr una reconversión integral de la economía de nuestra entidad.</w:t>
            </w:r>
          </w:p>
          <w:p w:rsidR="00002DD9" w:rsidRDefault="00002DD9" w:rsidP="00002DD9">
            <w:pPr>
              <w:pStyle w:val="Texto"/>
              <w:ind w:left="343" w:firstLine="0"/>
              <w:rPr>
                <w:rFonts w:ascii="Arial Narrow" w:hAnsi="Arial Narrow"/>
              </w:rPr>
            </w:pPr>
            <w:r w:rsidRPr="00992D26">
              <w:rPr>
                <w:rFonts w:ascii="Arial Narrow" w:hAnsi="Arial Narrow"/>
              </w:rPr>
              <w:t>●</w:t>
            </w:r>
            <w:r w:rsidRPr="00992D26">
              <w:rPr>
                <w:rFonts w:ascii="Arial Narrow" w:hAnsi="Arial Narrow"/>
              </w:rPr>
              <w:tab/>
            </w:r>
            <w:r>
              <w:rPr>
                <w:rFonts w:ascii="Arial Narrow" w:hAnsi="Arial Narrow"/>
              </w:rPr>
              <w:t>Consolidar la inducción de un polo de desarrollo regional hacia el 2042.</w:t>
            </w:r>
          </w:p>
          <w:p w:rsidR="00002DD9" w:rsidRPr="00992D26" w:rsidRDefault="00002DD9" w:rsidP="00002DD9">
            <w:pPr>
              <w:pStyle w:val="Texto"/>
              <w:ind w:left="343" w:firstLine="0"/>
              <w:rPr>
                <w:rFonts w:ascii="Arial Narrow" w:hAnsi="Arial Narrow"/>
              </w:rPr>
            </w:pPr>
            <w:r w:rsidRPr="00992D26">
              <w:rPr>
                <w:rFonts w:ascii="Arial Narrow" w:hAnsi="Arial Narrow"/>
              </w:rPr>
              <w:t>●</w:t>
            </w:r>
            <w:r w:rsidRPr="00992D26">
              <w:rPr>
                <w:rFonts w:ascii="Arial Narrow" w:hAnsi="Arial Narrow"/>
              </w:rPr>
              <w:tab/>
            </w:r>
            <w:r>
              <w:rPr>
                <w:rFonts w:ascii="Arial Narrow" w:hAnsi="Arial Narrow"/>
              </w:rPr>
              <w:t>Sentar las bases para un mejor futuro</w:t>
            </w:r>
            <w:r w:rsidR="00200C6F">
              <w:rPr>
                <w:rFonts w:ascii="Arial Narrow" w:hAnsi="Arial Narrow"/>
              </w:rPr>
              <w:t>, solidario y responsable para todos los nayaritas.</w:t>
            </w:r>
          </w:p>
        </w:tc>
      </w:tr>
      <w:tr w:rsidR="00B83815" w:rsidRPr="00992D26" w:rsidTr="00934835">
        <w:trPr>
          <w:cantSplit/>
          <w:jc w:val="center"/>
        </w:trPr>
        <w:tc>
          <w:tcPr>
            <w:tcW w:w="9639" w:type="dxa"/>
          </w:tcPr>
          <w:p w:rsidR="00B83815" w:rsidRPr="00992D26" w:rsidRDefault="00B83815" w:rsidP="00934835">
            <w:pPr>
              <w:pStyle w:val="Texto"/>
              <w:ind w:firstLine="0"/>
              <w:rPr>
                <w:rFonts w:ascii="Arial Narrow" w:hAnsi="Arial Narrow"/>
              </w:rPr>
            </w:pPr>
            <w:r w:rsidRPr="00992D26">
              <w:rPr>
                <w:rFonts w:ascii="Arial Narrow" w:hAnsi="Arial Narrow"/>
                <w:b/>
              </w:rPr>
              <w:t>ESTRATEGIAS</w:t>
            </w:r>
          </w:p>
          <w:p w:rsidR="00B83815" w:rsidRPr="00992D26" w:rsidRDefault="00200C6F" w:rsidP="00934835">
            <w:pPr>
              <w:pStyle w:val="Texto"/>
              <w:ind w:left="343" w:firstLine="0"/>
              <w:rPr>
                <w:rFonts w:ascii="Arial Narrow" w:hAnsi="Arial Narrow"/>
              </w:rPr>
            </w:pPr>
            <w:r>
              <w:rPr>
                <w:rFonts w:ascii="Arial Narrow" w:hAnsi="Arial Narrow"/>
              </w:rPr>
              <w:t>●</w:t>
            </w:r>
            <w:r>
              <w:rPr>
                <w:rFonts w:ascii="Arial Narrow" w:hAnsi="Arial Narrow"/>
              </w:rPr>
              <w:tab/>
              <w:t>Mejora en la gobernabilidad, en la organización y administración estatal.</w:t>
            </w:r>
          </w:p>
          <w:p w:rsidR="00B83815" w:rsidRPr="00992D26" w:rsidRDefault="00200C6F" w:rsidP="00934835">
            <w:pPr>
              <w:pStyle w:val="Texto"/>
              <w:ind w:left="703" w:hanging="360"/>
              <w:rPr>
                <w:rFonts w:ascii="Arial Narrow" w:hAnsi="Arial Narrow"/>
              </w:rPr>
            </w:pPr>
            <w:r>
              <w:rPr>
                <w:rFonts w:ascii="Arial Narrow" w:hAnsi="Arial Narrow"/>
              </w:rPr>
              <w:t>●</w:t>
            </w:r>
            <w:r>
              <w:rPr>
                <w:rFonts w:ascii="Arial Narrow" w:hAnsi="Arial Narrow"/>
              </w:rPr>
              <w:tab/>
              <w:t>Acceso a fuentes de empleo y al uso del equipamiento, servicios e infraestructura pública y privada.</w:t>
            </w:r>
          </w:p>
          <w:p w:rsidR="00B83815" w:rsidRPr="00992D26" w:rsidRDefault="00200C6F" w:rsidP="00934835">
            <w:pPr>
              <w:pStyle w:val="Texto"/>
              <w:ind w:left="703" w:hanging="360"/>
              <w:rPr>
                <w:rFonts w:ascii="Arial Narrow" w:hAnsi="Arial Narrow"/>
              </w:rPr>
            </w:pPr>
            <w:r>
              <w:rPr>
                <w:rFonts w:ascii="Arial Narrow" w:hAnsi="Arial Narrow"/>
              </w:rPr>
              <w:t>●</w:t>
            </w:r>
            <w:r>
              <w:rPr>
                <w:rFonts w:ascii="Arial Narrow" w:hAnsi="Arial Narrow"/>
              </w:rPr>
              <w:tab/>
              <w:t>Fomento del Desarrollo de Proyectos Sociales Productivos.</w:t>
            </w:r>
          </w:p>
          <w:p w:rsidR="00B83815" w:rsidRPr="00992D26" w:rsidRDefault="00B83815" w:rsidP="00934835">
            <w:pPr>
              <w:pStyle w:val="Texto"/>
              <w:ind w:left="703" w:hanging="360"/>
              <w:rPr>
                <w:rFonts w:ascii="Arial Narrow" w:hAnsi="Arial Narrow"/>
              </w:rPr>
            </w:pPr>
            <w:r w:rsidRPr="00992D26">
              <w:rPr>
                <w:rFonts w:ascii="Arial Narrow" w:hAnsi="Arial Narrow"/>
              </w:rPr>
              <w:t>●</w:t>
            </w:r>
            <w:r w:rsidRPr="00992D26">
              <w:rPr>
                <w:rFonts w:ascii="Arial Narrow" w:hAnsi="Arial Narrow"/>
              </w:rPr>
              <w:tab/>
            </w:r>
            <w:r w:rsidR="00200C6F">
              <w:rPr>
                <w:rFonts w:ascii="Arial Narrow" w:hAnsi="Arial Narrow"/>
              </w:rPr>
              <w:t>Procurar que el suelo urbano y de conservación se use en congruencia con la utilidad pública y la función social y económica.</w:t>
            </w:r>
          </w:p>
          <w:p w:rsidR="00B83815" w:rsidRPr="00992D26" w:rsidRDefault="00200C6F" w:rsidP="00934835">
            <w:pPr>
              <w:pStyle w:val="Texto"/>
              <w:ind w:left="703" w:hanging="360"/>
              <w:rPr>
                <w:rFonts w:ascii="Arial Narrow" w:hAnsi="Arial Narrow"/>
              </w:rPr>
            </w:pPr>
            <w:r>
              <w:rPr>
                <w:rFonts w:ascii="Arial Narrow" w:hAnsi="Arial Narrow"/>
              </w:rPr>
              <w:t>●</w:t>
            </w:r>
            <w:r>
              <w:rPr>
                <w:rFonts w:ascii="Arial Narrow" w:hAnsi="Arial Narrow"/>
              </w:rPr>
              <w:tab/>
              <w:t>Uso y aprovechamiento del territorio de acuerdo a su vocación y aptitud,</w:t>
            </w:r>
          </w:p>
          <w:p w:rsidR="00B83815" w:rsidRPr="00992D26" w:rsidRDefault="00200C6F" w:rsidP="00934835">
            <w:pPr>
              <w:pStyle w:val="Texto"/>
              <w:ind w:left="703" w:hanging="360"/>
              <w:rPr>
                <w:rFonts w:ascii="Arial Narrow" w:hAnsi="Arial Narrow"/>
              </w:rPr>
            </w:pPr>
            <w:r>
              <w:rPr>
                <w:rFonts w:ascii="Arial Narrow" w:hAnsi="Arial Narrow"/>
              </w:rPr>
              <w:t>●</w:t>
            </w:r>
            <w:r>
              <w:rPr>
                <w:rFonts w:ascii="Arial Narrow" w:hAnsi="Arial Narrow"/>
              </w:rPr>
              <w:tab/>
              <w:t>Promover un desarrollo socioeconómico equilibrado, sostenible y sustentable en el territorio urbano y rural.</w:t>
            </w:r>
          </w:p>
          <w:p w:rsidR="004E6B6C" w:rsidRPr="00992D26" w:rsidRDefault="00200C6F" w:rsidP="00F838A0">
            <w:pPr>
              <w:pStyle w:val="Texto"/>
              <w:ind w:left="703" w:hanging="360"/>
              <w:rPr>
                <w:rFonts w:ascii="Arial Narrow" w:hAnsi="Arial Narrow"/>
              </w:rPr>
            </w:pPr>
            <w:r>
              <w:rPr>
                <w:rFonts w:ascii="Arial Narrow" w:hAnsi="Arial Narrow"/>
              </w:rPr>
              <w:t>●</w:t>
            </w:r>
            <w:r>
              <w:rPr>
                <w:rFonts w:ascii="Arial Narrow" w:hAnsi="Arial Narrow"/>
              </w:rPr>
              <w:tab/>
              <w:t>Creación de nuevas redes de infraestructura.</w:t>
            </w:r>
          </w:p>
        </w:tc>
      </w:tr>
      <w:tr w:rsidR="00B83815" w:rsidRPr="00992D26" w:rsidTr="00934835">
        <w:trPr>
          <w:cantSplit/>
          <w:jc w:val="center"/>
        </w:trPr>
        <w:tc>
          <w:tcPr>
            <w:tcW w:w="9639" w:type="dxa"/>
            <w:tcBorders>
              <w:bottom w:val="single" w:sz="12" w:space="0" w:color="auto"/>
            </w:tcBorders>
          </w:tcPr>
          <w:p w:rsidR="00B83815" w:rsidRPr="00992D26" w:rsidRDefault="00B83815" w:rsidP="00934835">
            <w:pPr>
              <w:pStyle w:val="Texto"/>
              <w:ind w:firstLine="0"/>
              <w:rPr>
                <w:rFonts w:ascii="Arial Narrow" w:hAnsi="Arial Narrow"/>
                <w:b/>
              </w:rPr>
            </w:pPr>
            <w:r w:rsidRPr="00992D26">
              <w:rPr>
                <w:rFonts w:ascii="Arial Narrow" w:hAnsi="Arial Narrow"/>
                <w:b/>
              </w:rPr>
              <w:t>METAS</w:t>
            </w:r>
          </w:p>
          <w:p w:rsidR="00B83815" w:rsidRPr="00992D26" w:rsidRDefault="00200C6F" w:rsidP="00934835">
            <w:pPr>
              <w:pStyle w:val="Texto"/>
              <w:tabs>
                <w:tab w:val="left" w:pos="727"/>
                <w:tab w:val="left" w:pos="4003"/>
              </w:tabs>
              <w:ind w:left="648" w:hanging="305"/>
              <w:rPr>
                <w:rFonts w:ascii="Arial Narrow" w:hAnsi="Arial Narrow"/>
              </w:rPr>
            </w:pPr>
            <w:r>
              <w:rPr>
                <w:rFonts w:ascii="Arial Narrow" w:hAnsi="Arial Narrow"/>
              </w:rPr>
              <w:t>●</w:t>
            </w:r>
            <w:r>
              <w:rPr>
                <w:rFonts w:ascii="Arial Narrow" w:hAnsi="Arial Narrow"/>
              </w:rPr>
              <w:tab/>
              <w:t>Modelo de Desarrollo de Sectores Económicos</w:t>
            </w:r>
          </w:p>
          <w:p w:rsidR="00B83815" w:rsidRPr="00992D26" w:rsidRDefault="00B83815" w:rsidP="00934835">
            <w:pPr>
              <w:pStyle w:val="Texto"/>
              <w:tabs>
                <w:tab w:val="left" w:pos="288"/>
                <w:tab w:val="left" w:pos="4003"/>
              </w:tabs>
              <w:ind w:left="648" w:hanging="360"/>
              <w:rPr>
                <w:rFonts w:ascii="Arial Narrow" w:hAnsi="Arial Narrow"/>
              </w:rPr>
            </w:pPr>
            <w:r w:rsidRPr="00992D26">
              <w:rPr>
                <w:rFonts w:ascii="Arial Narrow" w:hAnsi="Arial Narrow"/>
              </w:rPr>
              <w:t xml:space="preserve"> </w:t>
            </w:r>
            <w:r w:rsidR="00706A78">
              <w:rPr>
                <w:rFonts w:ascii="Arial Narrow" w:hAnsi="Arial Narrow"/>
              </w:rPr>
              <w:t xml:space="preserve"> </w:t>
            </w:r>
            <w:r w:rsidRPr="00992D26">
              <w:rPr>
                <w:rFonts w:ascii="Arial Narrow" w:hAnsi="Arial Narrow"/>
              </w:rPr>
              <w:t xml:space="preserve">● </w:t>
            </w:r>
            <w:r>
              <w:rPr>
                <w:rFonts w:ascii="Arial Narrow" w:hAnsi="Arial Narrow"/>
              </w:rPr>
              <w:t xml:space="preserve">  </w:t>
            </w:r>
            <w:r w:rsidR="00200C6F">
              <w:rPr>
                <w:rFonts w:ascii="Arial Narrow" w:hAnsi="Arial Narrow"/>
              </w:rPr>
              <w:t xml:space="preserve"> Desarrollo Infraestructura en redes de enlaces carreteros, de conectividad satelital, de troncales regionales, de puentes comerciales de enlace marítimo, </w:t>
            </w:r>
            <w:r w:rsidR="00706A78">
              <w:rPr>
                <w:rFonts w:ascii="Arial Narrow" w:hAnsi="Arial Narrow"/>
              </w:rPr>
              <w:t>de transportes regionales y ferroviaria del pacífico.</w:t>
            </w:r>
          </w:p>
          <w:p w:rsidR="00B83815" w:rsidRPr="00992D26" w:rsidRDefault="00706A78" w:rsidP="00934835">
            <w:pPr>
              <w:pStyle w:val="Texto"/>
              <w:ind w:left="648" w:hanging="305"/>
              <w:rPr>
                <w:rFonts w:ascii="Arial Narrow" w:hAnsi="Arial Narrow"/>
              </w:rPr>
            </w:pPr>
            <w:r>
              <w:rPr>
                <w:rFonts w:ascii="Arial Narrow" w:hAnsi="Arial Narrow"/>
              </w:rPr>
              <w:t>●    Desarrollo Turístico de la Riviera Nayarita y desarrollo turístico alternativo.</w:t>
            </w:r>
          </w:p>
          <w:p w:rsidR="00B83815" w:rsidRPr="00992D26" w:rsidRDefault="00B83815" w:rsidP="00934835">
            <w:pPr>
              <w:pStyle w:val="Texto"/>
              <w:ind w:left="703" w:hanging="360"/>
              <w:rPr>
                <w:rFonts w:ascii="Arial Narrow" w:hAnsi="Arial Narrow"/>
              </w:rPr>
            </w:pPr>
            <w:r w:rsidRPr="00992D26">
              <w:rPr>
                <w:rFonts w:ascii="Arial Narrow" w:hAnsi="Arial Narrow"/>
              </w:rPr>
              <w:t xml:space="preserve">● </w:t>
            </w:r>
            <w:r w:rsidR="00706A78">
              <w:rPr>
                <w:rFonts w:ascii="Arial Narrow" w:hAnsi="Arial Narrow"/>
              </w:rPr>
              <w:t xml:space="preserve">   Desarrollo del Centro Tecnológico de Nayarit y Modelo de Parques Tecnológicos Agroalimentarios</w:t>
            </w:r>
          </w:p>
          <w:p w:rsidR="00B83815" w:rsidRPr="00992D26" w:rsidRDefault="00B83815" w:rsidP="00934835">
            <w:pPr>
              <w:pStyle w:val="Texto"/>
              <w:tabs>
                <w:tab w:val="left" w:pos="727"/>
                <w:tab w:val="left" w:pos="4003"/>
              </w:tabs>
              <w:ind w:left="343" w:firstLine="0"/>
              <w:rPr>
                <w:rFonts w:ascii="Arial Narrow" w:hAnsi="Arial Narrow"/>
              </w:rPr>
            </w:pPr>
            <w:r w:rsidRPr="00992D26">
              <w:rPr>
                <w:rFonts w:ascii="Arial Narrow" w:hAnsi="Arial Narrow"/>
              </w:rPr>
              <w:t xml:space="preserve">●   </w:t>
            </w:r>
            <w:r w:rsidR="00706A78">
              <w:rPr>
                <w:rFonts w:ascii="Arial Narrow" w:hAnsi="Arial Narrow"/>
              </w:rPr>
              <w:t xml:space="preserve"> Desarrollo Regional a través de Centros Regionales de Prestadores de Servicios y Programa de Gestión Social Integral.</w:t>
            </w:r>
          </w:p>
        </w:tc>
      </w:tr>
    </w:tbl>
    <w:p w:rsidR="00B83815" w:rsidRPr="00992D26" w:rsidRDefault="00B83815" w:rsidP="006B18BE">
      <w:pPr>
        <w:pStyle w:val="Sangradetextonormal"/>
        <w:spacing w:line="240" w:lineRule="auto"/>
        <w:ind w:left="539" w:firstLine="0"/>
        <w:jc w:val="left"/>
        <w:rPr>
          <w:rFonts w:ascii="Arial Narrow" w:hAnsi="Arial Narrow"/>
          <w:b/>
          <w:bCs/>
          <w:sz w:val="32"/>
          <w:szCs w:val="32"/>
        </w:rPr>
      </w:pP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cs="Arial"/>
          <w:b/>
          <w:bCs/>
          <w:sz w:val="16"/>
          <w:szCs w:val="16"/>
        </w:rPr>
        <w:t xml:space="preserve">Fuente: </w:t>
      </w:r>
      <w:r w:rsidRPr="00992D26">
        <w:rPr>
          <w:rFonts w:ascii="Arial Narrow" w:hAnsi="Arial Narrow" w:cs="Arial"/>
          <w:b/>
          <w:bCs/>
          <w:sz w:val="16"/>
          <w:szCs w:val="16"/>
        </w:rPr>
        <w:tab/>
      </w:r>
      <w:r w:rsidRPr="00992D26">
        <w:rPr>
          <w:rFonts w:ascii="Arial Narrow" w:hAnsi="Arial Narrow" w:cs="Arial"/>
          <w:bCs/>
          <w:sz w:val="16"/>
          <w:szCs w:val="16"/>
        </w:rPr>
        <w:t>Plan Estat</w:t>
      </w:r>
      <w:r w:rsidR="003A2891">
        <w:rPr>
          <w:rFonts w:ascii="Arial Narrow" w:hAnsi="Arial Narrow" w:cs="Arial"/>
          <w:bCs/>
          <w:sz w:val="16"/>
          <w:szCs w:val="16"/>
        </w:rPr>
        <w:t>al de Desarrollo de Nayarit 2017 - 2021</w:t>
      </w: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b/>
          <w:bCs/>
          <w:sz w:val="32"/>
          <w:szCs w:val="32"/>
        </w:rPr>
        <w:tab/>
      </w:r>
      <w:r w:rsidRPr="00992D26">
        <w:rPr>
          <w:rFonts w:ascii="Arial Narrow" w:hAnsi="Arial Narrow"/>
          <w:b/>
          <w:bCs/>
          <w:sz w:val="32"/>
          <w:szCs w:val="32"/>
        </w:rPr>
        <w:tab/>
      </w:r>
      <w:r w:rsidRPr="00992D26">
        <w:rPr>
          <w:rFonts w:ascii="Arial Narrow" w:hAnsi="Arial Narrow" w:cs="Arial"/>
          <w:bCs/>
          <w:sz w:val="16"/>
          <w:szCs w:val="16"/>
        </w:rPr>
        <w:t>Paquete Fisca</w:t>
      </w:r>
      <w:r>
        <w:rPr>
          <w:rFonts w:ascii="Arial Narrow" w:hAnsi="Arial Narrow" w:cs="Arial"/>
          <w:bCs/>
          <w:sz w:val="16"/>
          <w:szCs w:val="16"/>
        </w:rPr>
        <w:t>l</w:t>
      </w:r>
      <w:r w:rsidR="00F838A0">
        <w:rPr>
          <w:rFonts w:ascii="Arial Narrow" w:hAnsi="Arial Narrow" w:cs="Arial"/>
          <w:bCs/>
          <w:sz w:val="16"/>
          <w:szCs w:val="16"/>
        </w:rPr>
        <w:t xml:space="preserve"> 2021</w:t>
      </w:r>
    </w:p>
    <w:p w:rsidR="00E32C16" w:rsidRDefault="00E32C16" w:rsidP="00B83815">
      <w:pPr>
        <w:pStyle w:val="Sangradetextonormal"/>
        <w:ind w:firstLine="0"/>
        <w:jc w:val="left"/>
        <w:rPr>
          <w:rFonts w:ascii="Arial Narrow" w:hAnsi="Arial Narrow"/>
          <w:b/>
          <w:bCs/>
          <w:szCs w:val="28"/>
        </w:rPr>
      </w:pPr>
    </w:p>
    <w:p w:rsidR="00AB60C4" w:rsidRDefault="00AB60C4" w:rsidP="00B83815">
      <w:pPr>
        <w:pStyle w:val="Sangradetextonormal"/>
        <w:ind w:firstLine="0"/>
        <w:jc w:val="left"/>
        <w:rPr>
          <w:rFonts w:ascii="Arial Narrow" w:hAnsi="Arial Narrow"/>
          <w:b/>
          <w:bCs/>
          <w:szCs w:val="28"/>
        </w:rPr>
      </w:pPr>
    </w:p>
    <w:p w:rsidR="00AB60C4" w:rsidRDefault="00AB60C4" w:rsidP="00B83815">
      <w:pPr>
        <w:pStyle w:val="Sangradetextonormal"/>
        <w:ind w:firstLine="0"/>
        <w:jc w:val="left"/>
        <w:rPr>
          <w:rFonts w:ascii="Arial Narrow" w:hAnsi="Arial Narrow"/>
          <w:b/>
          <w:bCs/>
          <w:szCs w:val="28"/>
        </w:rPr>
      </w:pPr>
    </w:p>
    <w:p w:rsidR="00B83815" w:rsidRPr="00D6714B" w:rsidRDefault="00B83815" w:rsidP="00B83815">
      <w:pPr>
        <w:pStyle w:val="Sangradetextonormal"/>
        <w:ind w:firstLine="0"/>
        <w:jc w:val="left"/>
        <w:rPr>
          <w:rFonts w:ascii="Arial Narrow" w:hAnsi="Arial Narrow"/>
          <w:b/>
          <w:bCs/>
          <w:szCs w:val="28"/>
        </w:rPr>
      </w:pPr>
      <w:r w:rsidRPr="00D6714B">
        <w:rPr>
          <w:rFonts w:ascii="Arial Narrow" w:hAnsi="Arial Narrow"/>
          <w:b/>
          <w:bCs/>
          <w:szCs w:val="28"/>
        </w:rPr>
        <w:lastRenderedPageBreak/>
        <w:t>2.1.2.2.- Evolución de las Variables Económicas</w:t>
      </w:r>
    </w:p>
    <w:p w:rsidR="00B83815" w:rsidRPr="00992D26" w:rsidRDefault="00B83815" w:rsidP="00B83815">
      <w:pPr>
        <w:pStyle w:val="Sangradetextonormal"/>
        <w:spacing w:line="240" w:lineRule="auto"/>
        <w:ind w:firstLine="0"/>
        <w:jc w:val="left"/>
        <w:rPr>
          <w:rFonts w:ascii="Arial Narrow" w:hAnsi="Arial Narrow"/>
          <w:b/>
          <w:bCs/>
          <w:sz w:val="32"/>
          <w:szCs w:val="32"/>
        </w:rPr>
      </w:pPr>
    </w:p>
    <w:p w:rsidR="00B83815" w:rsidRPr="00D6714B" w:rsidRDefault="00B83815" w:rsidP="00B83815">
      <w:pPr>
        <w:pStyle w:val="Sangradetextonormal"/>
        <w:ind w:firstLine="0"/>
        <w:rPr>
          <w:rFonts w:ascii="Arial Narrow" w:hAnsi="Arial Narrow"/>
          <w:sz w:val="22"/>
          <w:szCs w:val="22"/>
        </w:rPr>
      </w:pPr>
      <w:r w:rsidRPr="00992D26">
        <w:rPr>
          <w:rFonts w:ascii="Arial Narrow" w:hAnsi="Arial Narrow"/>
          <w:b/>
          <w:bCs/>
          <w:sz w:val="32"/>
          <w:szCs w:val="32"/>
        </w:rPr>
        <w:tab/>
      </w:r>
      <w:r w:rsidRPr="00D6714B">
        <w:rPr>
          <w:rFonts w:ascii="Arial Narrow" w:hAnsi="Arial Narrow"/>
          <w:sz w:val="22"/>
          <w:szCs w:val="22"/>
        </w:rPr>
        <w:t>En los últimos años, los indicadores posicionan a Nayarit con una concentración de la riqueza en las regiones Centro y Costa Sur, derivado en buena medida por las actividades económicas del comercio y el turismo que se desarrollan en estas zonas.</w:t>
      </w:r>
      <w:r>
        <w:rPr>
          <w:rFonts w:ascii="Arial Narrow" w:hAnsi="Arial Narrow"/>
          <w:sz w:val="22"/>
          <w:szCs w:val="22"/>
        </w:rPr>
        <w:t xml:space="preserve"> </w:t>
      </w:r>
      <w:r w:rsidRPr="00D6714B">
        <w:rPr>
          <w:rFonts w:ascii="Arial Narrow" w:hAnsi="Arial Narrow"/>
          <w:sz w:val="22"/>
          <w:szCs w:val="22"/>
        </w:rPr>
        <w:t>El resto del Estado mantiene fundamentalmente una economía enfocada al sector primario en amplias tierras cultivables y la producción de ganado y productos del mar.</w:t>
      </w:r>
    </w:p>
    <w:p w:rsidR="00B83815" w:rsidRPr="00D6714B" w:rsidRDefault="00B83815" w:rsidP="00B83815">
      <w:pPr>
        <w:pStyle w:val="Sangradetextonormal"/>
        <w:ind w:firstLine="0"/>
        <w:rPr>
          <w:rFonts w:ascii="Arial Narrow" w:hAnsi="Arial Narrow"/>
          <w:sz w:val="22"/>
          <w:szCs w:val="22"/>
        </w:rPr>
      </w:pPr>
    </w:p>
    <w:p w:rsidR="00B83815" w:rsidRPr="00992D26" w:rsidRDefault="00B83815" w:rsidP="00B83815">
      <w:pPr>
        <w:pStyle w:val="Sangradetextonormal"/>
        <w:ind w:firstLine="0"/>
        <w:rPr>
          <w:rFonts w:ascii="Arial Narrow" w:hAnsi="Arial Narrow"/>
          <w:b/>
          <w:bCs/>
          <w:sz w:val="32"/>
          <w:szCs w:val="32"/>
        </w:rPr>
      </w:pPr>
      <w:r w:rsidRPr="00D6714B">
        <w:rPr>
          <w:rFonts w:ascii="Arial Narrow" w:hAnsi="Arial Narrow"/>
          <w:sz w:val="22"/>
          <w:szCs w:val="22"/>
        </w:rPr>
        <w:tab/>
        <w:t>En los siguientes apartados se describe el comportamiento de las principales variables económicas al interior del Estado.</w:t>
      </w:r>
    </w:p>
    <w:p w:rsidR="00B83815" w:rsidRDefault="00B83815" w:rsidP="00B83815">
      <w:pPr>
        <w:pStyle w:val="Sangradetextonormal"/>
        <w:spacing w:line="240" w:lineRule="auto"/>
        <w:ind w:firstLine="0"/>
        <w:jc w:val="left"/>
        <w:rPr>
          <w:rFonts w:ascii="Arial Narrow" w:hAnsi="Arial Narrow"/>
          <w:b/>
          <w:bCs/>
          <w:sz w:val="32"/>
          <w:szCs w:val="32"/>
        </w:rPr>
      </w:pPr>
    </w:p>
    <w:p w:rsidR="00317678" w:rsidRDefault="00317678" w:rsidP="00B83815">
      <w:pPr>
        <w:pStyle w:val="Sangradetextonormal"/>
        <w:spacing w:line="240" w:lineRule="auto"/>
        <w:ind w:firstLine="0"/>
        <w:jc w:val="left"/>
        <w:rPr>
          <w:rFonts w:ascii="Arial Narrow" w:hAnsi="Arial Narrow"/>
          <w:b/>
          <w:bCs/>
          <w:sz w:val="32"/>
          <w:szCs w:val="32"/>
        </w:rPr>
      </w:pPr>
    </w:p>
    <w:p w:rsidR="00B83815" w:rsidRPr="00D6714B" w:rsidRDefault="00B83815" w:rsidP="00B83815">
      <w:pPr>
        <w:pStyle w:val="Sangradetextonormal"/>
        <w:numPr>
          <w:ilvl w:val="0"/>
          <w:numId w:val="9"/>
        </w:numPr>
        <w:jc w:val="left"/>
        <w:rPr>
          <w:rFonts w:ascii="Arial Narrow" w:hAnsi="Arial Narrow"/>
          <w:b/>
          <w:bCs/>
          <w:szCs w:val="28"/>
        </w:rPr>
      </w:pPr>
      <w:r w:rsidRPr="00D6714B">
        <w:rPr>
          <w:rFonts w:ascii="Arial Narrow" w:hAnsi="Arial Narrow"/>
          <w:b/>
          <w:bCs/>
          <w:szCs w:val="28"/>
        </w:rPr>
        <w:t>Producto Interno Bruto (PIB)</w:t>
      </w:r>
    </w:p>
    <w:p w:rsidR="00B83815" w:rsidRPr="00992D26" w:rsidRDefault="00B83815" w:rsidP="00B83815">
      <w:pPr>
        <w:pStyle w:val="Sangradetextonormal"/>
        <w:ind w:left="708" w:firstLine="0"/>
        <w:jc w:val="left"/>
        <w:rPr>
          <w:rFonts w:ascii="Arial Narrow" w:hAnsi="Arial Narrow"/>
          <w:b/>
          <w:bCs/>
          <w:sz w:val="32"/>
          <w:szCs w:val="32"/>
        </w:rPr>
      </w:pPr>
    </w:p>
    <w:p w:rsidR="00B83815" w:rsidRPr="00D6714B" w:rsidRDefault="00B83815" w:rsidP="00B83815">
      <w:pPr>
        <w:pStyle w:val="Sangradetextonormal"/>
        <w:ind w:firstLine="720"/>
        <w:rPr>
          <w:rFonts w:ascii="Arial Narrow" w:hAnsi="Arial Narrow"/>
          <w:sz w:val="22"/>
          <w:szCs w:val="22"/>
        </w:rPr>
      </w:pPr>
      <w:bookmarkStart w:id="1" w:name="OLE_LINK1"/>
      <w:bookmarkStart w:id="2" w:name="OLE_LINK2"/>
      <w:bookmarkStart w:id="3" w:name="OLE_LINK3"/>
      <w:bookmarkStart w:id="4" w:name="OLE_LINK4"/>
      <w:r w:rsidRPr="00D6714B">
        <w:rPr>
          <w:rFonts w:ascii="Arial Narrow" w:hAnsi="Arial Narrow"/>
          <w:sz w:val="22"/>
          <w:szCs w:val="22"/>
        </w:rPr>
        <w:t xml:space="preserve">Con base en información difundida por el INEGI (Instituto Nacional de Estadística y Geografía) en su portal </w:t>
      </w:r>
      <w:r w:rsidR="00F3254F">
        <w:rPr>
          <w:rFonts w:ascii="Arial Narrow" w:hAnsi="Arial Narrow"/>
          <w:sz w:val="22"/>
          <w:szCs w:val="22"/>
        </w:rPr>
        <w:t xml:space="preserve">oficial </w:t>
      </w:r>
      <w:r w:rsidRPr="00D6714B">
        <w:rPr>
          <w:rFonts w:ascii="Arial Narrow" w:hAnsi="Arial Narrow"/>
          <w:sz w:val="22"/>
          <w:szCs w:val="22"/>
        </w:rPr>
        <w:t>de internet, se refleja que en el Estado de Nayarit el Prod</w:t>
      </w:r>
      <w:r w:rsidR="00317678">
        <w:rPr>
          <w:rFonts w:ascii="Arial Narrow" w:hAnsi="Arial Narrow"/>
          <w:sz w:val="22"/>
          <w:szCs w:val="22"/>
        </w:rPr>
        <w:t xml:space="preserve">ucto Interno Bruto (PIB) de </w:t>
      </w:r>
      <w:r w:rsidR="00962238">
        <w:rPr>
          <w:rFonts w:ascii="Arial Narrow" w:hAnsi="Arial Narrow"/>
          <w:sz w:val="22"/>
          <w:szCs w:val="22"/>
        </w:rPr>
        <w:t>201</w:t>
      </w:r>
      <w:r w:rsidR="00625E20">
        <w:rPr>
          <w:rFonts w:ascii="Arial Narrow" w:hAnsi="Arial Narrow"/>
          <w:sz w:val="22"/>
          <w:szCs w:val="22"/>
        </w:rPr>
        <w:t>9</w:t>
      </w:r>
      <w:r w:rsidRPr="00D6714B">
        <w:rPr>
          <w:rFonts w:ascii="Arial Narrow" w:hAnsi="Arial Narrow"/>
          <w:sz w:val="22"/>
          <w:szCs w:val="22"/>
        </w:rPr>
        <w:t xml:space="preserve"> se situó en </w:t>
      </w:r>
      <w:bookmarkEnd w:id="1"/>
      <w:bookmarkEnd w:id="2"/>
      <w:r w:rsidR="00962238">
        <w:rPr>
          <w:rFonts w:ascii="Arial Narrow" w:hAnsi="Arial Narrow"/>
          <w:sz w:val="22"/>
          <w:szCs w:val="22"/>
        </w:rPr>
        <w:t>1</w:t>
      </w:r>
      <w:r w:rsidR="00625E20">
        <w:rPr>
          <w:rFonts w:ascii="Arial Narrow" w:hAnsi="Arial Narrow"/>
          <w:sz w:val="22"/>
          <w:szCs w:val="22"/>
        </w:rPr>
        <w:t xml:space="preserve">21,044 </w:t>
      </w:r>
      <w:r w:rsidRPr="00D6714B">
        <w:rPr>
          <w:rFonts w:ascii="Arial Narrow" w:hAnsi="Arial Narrow"/>
          <w:sz w:val="22"/>
          <w:szCs w:val="22"/>
        </w:rPr>
        <w:t>mi</w:t>
      </w:r>
      <w:r w:rsidR="00962238">
        <w:rPr>
          <w:rFonts w:ascii="Arial Narrow" w:hAnsi="Arial Narrow"/>
          <w:sz w:val="22"/>
          <w:szCs w:val="22"/>
        </w:rPr>
        <w:t xml:space="preserve">llones de pesos, </w:t>
      </w:r>
      <w:r w:rsidR="00625E20">
        <w:rPr>
          <w:rFonts w:ascii="Arial Narrow" w:hAnsi="Arial Narrow"/>
          <w:sz w:val="22"/>
          <w:szCs w:val="22"/>
        </w:rPr>
        <w:t>retrocediendo</w:t>
      </w:r>
      <w:r w:rsidR="00962238">
        <w:rPr>
          <w:rFonts w:ascii="Arial Narrow" w:hAnsi="Arial Narrow"/>
          <w:sz w:val="22"/>
          <w:szCs w:val="22"/>
        </w:rPr>
        <w:t xml:space="preserve"> en 20</w:t>
      </w:r>
      <w:r w:rsidR="00625E20">
        <w:rPr>
          <w:rFonts w:ascii="Arial Narrow" w:hAnsi="Arial Narrow"/>
          <w:sz w:val="22"/>
          <w:szCs w:val="22"/>
        </w:rPr>
        <w:t>20</w:t>
      </w:r>
      <w:r w:rsidR="00317678">
        <w:rPr>
          <w:rFonts w:ascii="Arial Narrow" w:hAnsi="Arial Narrow"/>
          <w:sz w:val="22"/>
          <w:szCs w:val="22"/>
        </w:rPr>
        <w:t xml:space="preserve"> al monto</w:t>
      </w:r>
      <w:r w:rsidR="00962238">
        <w:rPr>
          <w:rFonts w:ascii="Arial Narrow" w:hAnsi="Arial Narrow"/>
          <w:sz w:val="22"/>
          <w:szCs w:val="22"/>
        </w:rPr>
        <w:t xml:space="preserve"> </w:t>
      </w:r>
      <w:r w:rsidR="00317678">
        <w:rPr>
          <w:rFonts w:ascii="Arial Narrow" w:hAnsi="Arial Narrow"/>
          <w:sz w:val="22"/>
          <w:szCs w:val="22"/>
        </w:rPr>
        <w:t xml:space="preserve">de </w:t>
      </w:r>
      <w:r w:rsidR="00625E20">
        <w:rPr>
          <w:rFonts w:ascii="Arial Narrow" w:hAnsi="Arial Narrow"/>
          <w:sz w:val="22"/>
          <w:szCs w:val="22"/>
        </w:rPr>
        <w:t>107,297</w:t>
      </w:r>
      <w:r w:rsidRPr="00D6714B">
        <w:rPr>
          <w:rFonts w:ascii="Arial Narrow" w:hAnsi="Arial Narrow"/>
          <w:sz w:val="22"/>
          <w:szCs w:val="22"/>
        </w:rPr>
        <w:t xml:space="preserve"> millones de pesos</w:t>
      </w:r>
      <w:bookmarkEnd w:id="3"/>
      <w:bookmarkEnd w:id="4"/>
      <w:r w:rsidR="00625E20">
        <w:rPr>
          <w:rFonts w:ascii="Arial Narrow" w:hAnsi="Arial Narrow"/>
          <w:sz w:val="22"/>
          <w:szCs w:val="22"/>
        </w:rPr>
        <w:t xml:space="preserve">, con motivo de los efectos de la pandemia derivada del virus </w:t>
      </w:r>
      <w:r w:rsidR="00625E20" w:rsidRPr="00A9560D">
        <w:rPr>
          <w:rFonts w:ascii="Arial Narrow" w:hAnsi="Arial Narrow"/>
          <w:sz w:val="22"/>
          <w:szCs w:val="22"/>
        </w:rPr>
        <w:t>SARS-CoV2</w:t>
      </w:r>
      <w:r w:rsidR="00625E20">
        <w:rPr>
          <w:rFonts w:ascii="Arial Narrow" w:hAnsi="Arial Narrow"/>
          <w:sz w:val="22"/>
          <w:szCs w:val="22"/>
        </w:rPr>
        <w:t xml:space="preserve"> que genera  la enfermedad COVID – 19.</w:t>
      </w:r>
    </w:p>
    <w:p w:rsidR="00B83815" w:rsidRPr="00D6714B" w:rsidRDefault="00B83815" w:rsidP="00B83815">
      <w:pPr>
        <w:pStyle w:val="Sangradetextonormal"/>
        <w:ind w:left="708" w:firstLine="0"/>
        <w:jc w:val="left"/>
        <w:rPr>
          <w:rFonts w:ascii="Arial Narrow" w:hAnsi="Arial Narrow"/>
          <w:b/>
          <w:bCs/>
          <w:sz w:val="22"/>
          <w:szCs w:val="22"/>
        </w:rPr>
      </w:pPr>
    </w:p>
    <w:p w:rsidR="00B83815" w:rsidRDefault="00B83815" w:rsidP="00B83815">
      <w:pPr>
        <w:pStyle w:val="Sangradetextonormal"/>
        <w:ind w:firstLine="720"/>
        <w:rPr>
          <w:rFonts w:ascii="Arial Narrow" w:hAnsi="Arial Narrow"/>
          <w:sz w:val="22"/>
          <w:szCs w:val="22"/>
        </w:rPr>
      </w:pPr>
      <w:r w:rsidRPr="00D6714B">
        <w:rPr>
          <w:rFonts w:ascii="Arial Narrow" w:hAnsi="Arial Narrow"/>
          <w:sz w:val="22"/>
          <w:szCs w:val="22"/>
        </w:rPr>
        <w:t>Los valores enunciados en el párrafo precedente correspon</w:t>
      </w:r>
      <w:r w:rsidR="0066058B">
        <w:rPr>
          <w:rFonts w:ascii="Arial Narrow" w:hAnsi="Arial Narrow"/>
          <w:sz w:val="22"/>
          <w:szCs w:val="22"/>
        </w:rPr>
        <w:t>den a precios constantes de 2013</w:t>
      </w:r>
      <w:r w:rsidRPr="00D6714B">
        <w:rPr>
          <w:rFonts w:ascii="Arial Narrow" w:hAnsi="Arial Narrow"/>
          <w:sz w:val="22"/>
          <w:szCs w:val="22"/>
        </w:rPr>
        <w:t>, mismos que por actividad económica, se desglosan de la siguiente forma:</w:t>
      </w:r>
    </w:p>
    <w:p w:rsidR="00B83815" w:rsidRPr="00D6714B" w:rsidRDefault="00B83815" w:rsidP="00B83815">
      <w:pPr>
        <w:pStyle w:val="Sangradetextonormal"/>
        <w:ind w:firstLine="720"/>
        <w:rPr>
          <w:rFonts w:ascii="Arial Narrow" w:hAnsi="Arial Narrow"/>
          <w:sz w:val="22"/>
          <w:szCs w:val="22"/>
        </w:rPr>
      </w:pPr>
    </w:p>
    <w:p w:rsidR="00B83815" w:rsidRPr="00992D26" w:rsidRDefault="001804DB" w:rsidP="00B83815">
      <w:pPr>
        <w:pStyle w:val="Sangradetextonormal"/>
        <w:ind w:firstLine="720"/>
        <w:rPr>
          <w:rFonts w:ascii="Arial Narrow" w:hAnsi="Arial Narrow"/>
          <w:sz w:val="25"/>
        </w:rPr>
      </w:pPr>
      <w:r>
        <w:rPr>
          <w:rFonts w:ascii="Arial Narrow" w:hAnsi="Arial Narrow"/>
          <w:noProof/>
          <w:sz w:val="25"/>
        </w:rPr>
        <w:pict>
          <v:shape id="_x0000_s1043" type="#_x0000_t75" style="position:absolute;left:0;text-align:left;margin-left:3.45pt;margin-top:13.95pt;width:442.5pt;height:107.25pt;z-index:252020736;mso-position-horizontal-relative:text;mso-position-vertical-relative:text">
            <v:imagedata r:id="rId11" o:title=""/>
          </v:shape>
          <o:OLEObject Type="Link" ProgID="Excel.Sheet.12" ShapeID="_x0000_s1043" DrawAspect="Content" r:id="rId12" UpdateMode="Always">
            <o:LinkType>EnhancedMetaFile</o:LinkType>
            <o:LockedField>false</o:LockedField>
          </o:OLEObject>
        </w:pict>
      </w: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0"/>
        <w:rPr>
          <w:rFonts w:ascii="Arial Narrow" w:hAnsi="Arial Narrow"/>
          <w:bCs/>
          <w:sz w:val="18"/>
          <w:szCs w:val="18"/>
        </w:rPr>
      </w:pPr>
      <w:r w:rsidRPr="00992D26">
        <w:rPr>
          <w:rFonts w:ascii="Arial Narrow" w:hAnsi="Arial Narrow"/>
          <w:bCs/>
          <w:sz w:val="18"/>
          <w:szCs w:val="18"/>
        </w:rPr>
        <w:t xml:space="preserve">        </w:t>
      </w:r>
    </w:p>
    <w:p w:rsidR="00B83815" w:rsidRPr="00D6714B" w:rsidRDefault="00B83815" w:rsidP="00B83815">
      <w:pPr>
        <w:pStyle w:val="Sangradetextonormal"/>
        <w:ind w:firstLine="720"/>
        <w:rPr>
          <w:rFonts w:ascii="Arial Narrow" w:hAnsi="Arial Narrow"/>
          <w:sz w:val="22"/>
          <w:szCs w:val="22"/>
        </w:rPr>
      </w:pPr>
      <w:r w:rsidRPr="00D6714B">
        <w:rPr>
          <w:rFonts w:ascii="Arial Narrow" w:hAnsi="Arial Narrow"/>
          <w:sz w:val="22"/>
          <w:szCs w:val="22"/>
        </w:rPr>
        <w:lastRenderedPageBreak/>
        <w:t>De acuerdo con las cifras mostradas en el</w:t>
      </w:r>
      <w:r w:rsidR="004342EE">
        <w:rPr>
          <w:rFonts w:ascii="Arial Narrow" w:hAnsi="Arial Narrow"/>
          <w:sz w:val="22"/>
          <w:szCs w:val="22"/>
        </w:rPr>
        <w:t xml:space="preserve"> cuadro anterior, en el año 20</w:t>
      </w:r>
      <w:r w:rsidR="00625E20">
        <w:rPr>
          <w:rFonts w:ascii="Arial Narrow" w:hAnsi="Arial Narrow"/>
          <w:sz w:val="22"/>
          <w:szCs w:val="22"/>
        </w:rPr>
        <w:t>20</w:t>
      </w:r>
      <w:r w:rsidRPr="00D6714B">
        <w:rPr>
          <w:rFonts w:ascii="Arial Narrow" w:hAnsi="Arial Narrow"/>
          <w:sz w:val="22"/>
          <w:szCs w:val="22"/>
        </w:rPr>
        <w:t xml:space="preserve"> sobresalen las act</w:t>
      </w:r>
      <w:r w:rsidR="00962238">
        <w:rPr>
          <w:rFonts w:ascii="Arial Narrow" w:hAnsi="Arial Narrow"/>
          <w:sz w:val="22"/>
          <w:szCs w:val="22"/>
        </w:rPr>
        <w:t>ividades terciarias con un 7</w:t>
      </w:r>
      <w:r w:rsidR="00496FAB">
        <w:rPr>
          <w:rFonts w:ascii="Arial Narrow" w:hAnsi="Arial Narrow"/>
          <w:sz w:val="22"/>
          <w:szCs w:val="22"/>
        </w:rPr>
        <w:t>3.88</w:t>
      </w:r>
      <w:r w:rsidRPr="00D6714B">
        <w:rPr>
          <w:rFonts w:ascii="Arial Narrow" w:hAnsi="Arial Narrow"/>
          <w:sz w:val="22"/>
          <w:szCs w:val="22"/>
        </w:rPr>
        <w:t xml:space="preserve">% del total reportado, destacando al interior de este rubro, por su mayor cuantía, </w:t>
      </w:r>
      <w:r w:rsidR="003A6900">
        <w:rPr>
          <w:rFonts w:ascii="Arial Narrow" w:hAnsi="Arial Narrow"/>
          <w:sz w:val="22"/>
          <w:szCs w:val="22"/>
        </w:rPr>
        <w:t xml:space="preserve">los </w:t>
      </w:r>
      <w:r w:rsidRPr="00D6714B">
        <w:rPr>
          <w:rFonts w:ascii="Arial Narrow" w:hAnsi="Arial Narrow"/>
          <w:sz w:val="22"/>
          <w:szCs w:val="22"/>
        </w:rPr>
        <w:t xml:space="preserve">Servicios inmobiliarios y de alquiler </w:t>
      </w:r>
      <w:r w:rsidR="003A6900">
        <w:rPr>
          <w:rFonts w:ascii="Arial Narrow" w:hAnsi="Arial Narrow"/>
          <w:sz w:val="22"/>
          <w:szCs w:val="22"/>
        </w:rPr>
        <w:t>de bienes muebles e intangibles</w:t>
      </w:r>
      <w:r w:rsidR="00FC7B13">
        <w:rPr>
          <w:rFonts w:ascii="Arial Narrow" w:hAnsi="Arial Narrow"/>
          <w:sz w:val="22"/>
          <w:szCs w:val="22"/>
        </w:rPr>
        <w:t xml:space="preserve">, el </w:t>
      </w:r>
      <w:r w:rsidR="00FC7B13" w:rsidRPr="00FC7B13">
        <w:rPr>
          <w:rFonts w:ascii="Arial Narrow" w:hAnsi="Arial Narrow"/>
          <w:sz w:val="22"/>
          <w:szCs w:val="22"/>
        </w:rPr>
        <w:t>Comercio al por menor</w:t>
      </w:r>
      <w:r w:rsidR="00496FAB">
        <w:rPr>
          <w:rFonts w:ascii="Arial Narrow" w:hAnsi="Arial Narrow"/>
          <w:sz w:val="22"/>
          <w:szCs w:val="22"/>
        </w:rPr>
        <w:t xml:space="preserve">, así como las </w:t>
      </w:r>
      <w:r w:rsidR="00496FAB" w:rsidRPr="00496FAB">
        <w:rPr>
          <w:rFonts w:ascii="Arial Narrow" w:hAnsi="Arial Narrow"/>
          <w:sz w:val="22"/>
          <w:szCs w:val="22"/>
        </w:rPr>
        <w:t>Actividades legislativas, gubernamentales, de impartición de justicia y de organismos internacionales y extraterritoriales</w:t>
      </w:r>
      <w:r w:rsidR="00496FAB">
        <w:rPr>
          <w:rFonts w:ascii="Arial Narrow" w:hAnsi="Arial Narrow"/>
          <w:sz w:val="22"/>
          <w:szCs w:val="22"/>
        </w:rPr>
        <w:t xml:space="preserve"> y el Comercio al por mayor.</w:t>
      </w:r>
    </w:p>
    <w:p w:rsidR="00B83815" w:rsidRPr="00D6714B" w:rsidRDefault="00B83815" w:rsidP="00B83815">
      <w:pPr>
        <w:pStyle w:val="Sangradetextonormal"/>
        <w:ind w:firstLine="720"/>
        <w:rPr>
          <w:rFonts w:ascii="Arial Narrow" w:hAnsi="Arial Narrow"/>
          <w:sz w:val="22"/>
          <w:szCs w:val="22"/>
        </w:rPr>
      </w:pPr>
    </w:p>
    <w:p w:rsidR="00B83815" w:rsidRPr="00D6714B" w:rsidRDefault="00B83815" w:rsidP="00B83815">
      <w:pPr>
        <w:pStyle w:val="Sangradetextonormal"/>
        <w:ind w:firstLine="720"/>
        <w:rPr>
          <w:rFonts w:ascii="Arial Narrow" w:hAnsi="Arial Narrow"/>
          <w:sz w:val="22"/>
          <w:szCs w:val="22"/>
        </w:rPr>
      </w:pPr>
      <w:r w:rsidRPr="00D6714B">
        <w:rPr>
          <w:rFonts w:ascii="Arial Narrow" w:hAnsi="Arial Narrow"/>
          <w:sz w:val="22"/>
          <w:szCs w:val="22"/>
        </w:rPr>
        <w:t>En la siguiente gráfica se ilustra la evolución que ha tenido el PIB en el Estado de Nayarit</w:t>
      </w:r>
      <w:r w:rsidR="00962238">
        <w:rPr>
          <w:rFonts w:ascii="Arial Narrow" w:hAnsi="Arial Narrow"/>
          <w:sz w:val="22"/>
          <w:szCs w:val="22"/>
        </w:rPr>
        <w:t xml:space="preserve"> en los últimos cinco años (201</w:t>
      </w:r>
      <w:r w:rsidR="006D6D01">
        <w:rPr>
          <w:rFonts w:ascii="Arial Narrow" w:hAnsi="Arial Narrow"/>
          <w:sz w:val="22"/>
          <w:szCs w:val="22"/>
        </w:rPr>
        <w:t>6</w:t>
      </w:r>
      <w:r w:rsidR="004342EE">
        <w:rPr>
          <w:rFonts w:ascii="Arial Narrow" w:hAnsi="Arial Narrow"/>
          <w:sz w:val="22"/>
          <w:szCs w:val="22"/>
        </w:rPr>
        <w:t xml:space="preserve"> a 20</w:t>
      </w:r>
      <w:r w:rsidR="006D6D01">
        <w:rPr>
          <w:rFonts w:ascii="Arial Narrow" w:hAnsi="Arial Narrow"/>
          <w:sz w:val="22"/>
          <w:szCs w:val="22"/>
        </w:rPr>
        <w:t>20</w:t>
      </w:r>
      <w:r w:rsidRPr="00D6714B">
        <w:rPr>
          <w:rFonts w:ascii="Arial Narrow" w:hAnsi="Arial Narrow"/>
          <w:sz w:val="22"/>
          <w:szCs w:val="22"/>
        </w:rPr>
        <w:t>) con valores considerados en millones de pe</w:t>
      </w:r>
      <w:r w:rsidR="0066058B">
        <w:rPr>
          <w:rFonts w:ascii="Arial Narrow" w:hAnsi="Arial Narrow"/>
          <w:sz w:val="22"/>
          <w:szCs w:val="22"/>
        </w:rPr>
        <w:t>sos a precios constantes de 2013</w:t>
      </w:r>
      <w:r w:rsidRPr="00D6714B">
        <w:rPr>
          <w:rFonts w:ascii="Arial Narrow" w:hAnsi="Arial Narrow"/>
          <w:sz w:val="22"/>
          <w:szCs w:val="22"/>
        </w:rPr>
        <w:t>:</w:t>
      </w:r>
    </w:p>
    <w:p w:rsidR="00B83815" w:rsidRPr="00992D26" w:rsidRDefault="00B83815" w:rsidP="00B83815">
      <w:pPr>
        <w:pStyle w:val="Sangradetextonormal"/>
        <w:ind w:firstLine="720"/>
        <w:rPr>
          <w:rFonts w:ascii="Arial Narrow" w:hAnsi="Arial Narrow"/>
          <w:b/>
          <w:bCs/>
          <w:sz w:val="32"/>
          <w:szCs w:val="32"/>
        </w:rPr>
      </w:pPr>
    </w:p>
    <w:p w:rsidR="00B83815" w:rsidRPr="00992D26" w:rsidRDefault="006D6D01" w:rsidP="00B83815">
      <w:pPr>
        <w:pStyle w:val="Sangradetextonormal"/>
        <w:ind w:firstLine="720"/>
        <w:rPr>
          <w:rFonts w:ascii="Arial Narrow" w:hAnsi="Arial Narrow"/>
          <w:b/>
          <w:bCs/>
          <w:sz w:val="32"/>
          <w:szCs w:val="32"/>
        </w:rPr>
      </w:pPr>
      <w:r w:rsidRPr="006D6D01">
        <w:rPr>
          <w:noProof/>
          <w:lang w:val="es-MX" w:eastAsia="es-MX"/>
        </w:rPr>
        <w:drawing>
          <wp:anchor distT="0" distB="0" distL="114300" distR="114300" simplePos="0" relativeHeight="252021760" behindDoc="0" locked="0" layoutInCell="1" allowOverlap="1">
            <wp:simplePos x="0" y="0"/>
            <wp:positionH relativeFrom="column">
              <wp:posOffset>396875</wp:posOffset>
            </wp:positionH>
            <wp:positionV relativeFrom="paragraph">
              <wp:posOffset>90170</wp:posOffset>
            </wp:positionV>
            <wp:extent cx="5286375" cy="309802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86375" cy="30980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Default="00B83815" w:rsidP="00B83815">
      <w:pPr>
        <w:pStyle w:val="Sangradetextonormal"/>
        <w:ind w:firstLine="720"/>
        <w:rPr>
          <w:rFonts w:ascii="Arial Narrow" w:hAnsi="Arial Narrow"/>
          <w:b/>
          <w:bCs/>
          <w:sz w:val="32"/>
          <w:szCs w:val="32"/>
        </w:rPr>
      </w:pPr>
    </w:p>
    <w:p w:rsidR="00B83815" w:rsidRDefault="00B83815" w:rsidP="00B83815">
      <w:pPr>
        <w:pStyle w:val="Sangradetextonormal"/>
        <w:ind w:firstLine="720"/>
        <w:rPr>
          <w:rFonts w:ascii="Arial Narrow" w:hAnsi="Arial Narrow"/>
          <w:b/>
          <w:bCs/>
          <w:sz w:val="32"/>
          <w:szCs w:val="32"/>
        </w:rPr>
      </w:pPr>
    </w:p>
    <w:p w:rsidR="005C4FE7" w:rsidRDefault="005C4FE7" w:rsidP="00B83815">
      <w:pPr>
        <w:pStyle w:val="Sangradetextonormal"/>
        <w:ind w:firstLine="720"/>
        <w:rPr>
          <w:rFonts w:ascii="Arial Narrow" w:hAnsi="Arial Narrow"/>
          <w:bCs/>
          <w:sz w:val="20"/>
        </w:rPr>
      </w:pPr>
    </w:p>
    <w:p w:rsidR="00B83815" w:rsidRDefault="00B83815" w:rsidP="00B83815">
      <w:pPr>
        <w:pStyle w:val="Sangradetextonormal"/>
        <w:ind w:firstLine="720"/>
        <w:rPr>
          <w:rFonts w:ascii="Arial Narrow" w:hAnsi="Arial Narrow"/>
          <w:bCs/>
          <w:sz w:val="20"/>
        </w:rPr>
      </w:pPr>
      <w:r w:rsidRPr="00352CE6">
        <w:rPr>
          <w:rFonts w:ascii="Arial Narrow" w:hAnsi="Arial Narrow"/>
          <w:bCs/>
          <w:sz w:val="20"/>
        </w:rPr>
        <w:t>Fuente: INEGI</w:t>
      </w:r>
    </w:p>
    <w:p w:rsidR="000D7988" w:rsidRDefault="000D7988" w:rsidP="00B83815">
      <w:pPr>
        <w:pStyle w:val="Sangradetextonormal"/>
        <w:ind w:firstLine="720"/>
        <w:rPr>
          <w:rFonts w:ascii="Arial Narrow" w:hAnsi="Arial Narrow"/>
          <w:bCs/>
          <w:sz w:val="20"/>
        </w:rPr>
      </w:pPr>
    </w:p>
    <w:p w:rsidR="006D6D01" w:rsidRDefault="006D6D01" w:rsidP="00B83815">
      <w:pPr>
        <w:pStyle w:val="Sangradetextonormal"/>
        <w:ind w:firstLine="720"/>
        <w:rPr>
          <w:rFonts w:ascii="Arial Narrow" w:hAnsi="Arial Narrow"/>
          <w:bCs/>
          <w:sz w:val="20"/>
        </w:rPr>
      </w:pPr>
    </w:p>
    <w:p w:rsidR="006D6D01" w:rsidRDefault="006D6D01" w:rsidP="00B83815">
      <w:pPr>
        <w:pStyle w:val="Sangradetextonormal"/>
        <w:ind w:firstLine="720"/>
        <w:rPr>
          <w:rFonts w:ascii="Arial Narrow" w:hAnsi="Arial Narrow"/>
          <w:bCs/>
          <w:sz w:val="20"/>
        </w:rPr>
      </w:pPr>
    </w:p>
    <w:p w:rsidR="006D6D01" w:rsidRPr="00352CE6" w:rsidRDefault="006D6D01" w:rsidP="00B83815">
      <w:pPr>
        <w:pStyle w:val="Sangradetextonormal"/>
        <w:ind w:firstLine="720"/>
        <w:rPr>
          <w:rFonts w:ascii="Arial Narrow" w:hAnsi="Arial Narrow"/>
          <w:bCs/>
          <w:sz w:val="20"/>
        </w:rPr>
      </w:pPr>
    </w:p>
    <w:p w:rsidR="00B83815" w:rsidRPr="00E55E3E" w:rsidRDefault="00B83815" w:rsidP="00B83815">
      <w:pPr>
        <w:pStyle w:val="Sangradetextonormal"/>
        <w:numPr>
          <w:ilvl w:val="0"/>
          <w:numId w:val="9"/>
        </w:numPr>
        <w:jc w:val="left"/>
        <w:rPr>
          <w:rFonts w:ascii="Arial Narrow" w:hAnsi="Arial Narrow"/>
          <w:b/>
          <w:bCs/>
          <w:szCs w:val="28"/>
        </w:rPr>
      </w:pPr>
      <w:r w:rsidRPr="00E55E3E">
        <w:rPr>
          <w:rFonts w:ascii="Arial Narrow" w:hAnsi="Arial Narrow"/>
          <w:b/>
          <w:bCs/>
          <w:szCs w:val="28"/>
        </w:rPr>
        <w:lastRenderedPageBreak/>
        <w:t>Empleo</w:t>
      </w:r>
    </w:p>
    <w:p w:rsidR="00B83815" w:rsidRPr="00962238" w:rsidRDefault="00B83815" w:rsidP="00B83815">
      <w:pPr>
        <w:pStyle w:val="Sangradetextonormal"/>
        <w:ind w:left="708" w:firstLine="0"/>
        <w:jc w:val="left"/>
        <w:rPr>
          <w:rFonts w:ascii="Arial Narrow" w:hAnsi="Arial Narrow"/>
          <w:b/>
          <w:bCs/>
          <w:sz w:val="22"/>
          <w:szCs w:val="32"/>
        </w:rPr>
      </w:pPr>
    </w:p>
    <w:p w:rsidR="00317678" w:rsidRDefault="00B83815" w:rsidP="001E689F">
      <w:pPr>
        <w:pStyle w:val="Sangradetextonormal"/>
        <w:ind w:firstLine="720"/>
        <w:rPr>
          <w:rFonts w:ascii="Arial Narrow" w:hAnsi="Arial Narrow"/>
          <w:sz w:val="22"/>
          <w:szCs w:val="22"/>
        </w:rPr>
      </w:pPr>
      <w:r w:rsidRPr="00E55E3E">
        <w:rPr>
          <w:rFonts w:ascii="Arial Narrow" w:hAnsi="Arial Narrow"/>
          <w:sz w:val="22"/>
          <w:szCs w:val="22"/>
        </w:rPr>
        <w:t xml:space="preserve">Con base en </w:t>
      </w:r>
      <w:r w:rsidR="00317678">
        <w:rPr>
          <w:rFonts w:ascii="Arial Narrow" w:hAnsi="Arial Narrow"/>
          <w:sz w:val="22"/>
          <w:szCs w:val="22"/>
        </w:rPr>
        <w:t>la Encuesta Nacional de Ocupación y Empleo (ENOE) levantada por el Instituto Nacional de Estadística y Geografía (INEGI), p</w:t>
      </w:r>
      <w:r w:rsidR="00962238">
        <w:rPr>
          <w:rFonts w:ascii="Arial Narrow" w:hAnsi="Arial Narrow"/>
          <w:sz w:val="22"/>
          <w:szCs w:val="22"/>
        </w:rPr>
        <w:t>ara el cuarto trimestre de 20</w:t>
      </w:r>
      <w:r w:rsidR="001E689F">
        <w:rPr>
          <w:rFonts w:ascii="Arial Narrow" w:hAnsi="Arial Narrow"/>
          <w:sz w:val="22"/>
          <w:szCs w:val="22"/>
        </w:rPr>
        <w:t>21</w:t>
      </w:r>
      <w:r w:rsidR="00317678" w:rsidRPr="00317678">
        <w:rPr>
          <w:rFonts w:ascii="Arial Narrow" w:hAnsi="Arial Narrow"/>
          <w:sz w:val="22"/>
          <w:szCs w:val="22"/>
        </w:rPr>
        <w:t xml:space="preserve">, </w:t>
      </w:r>
      <w:r w:rsidR="001E689F" w:rsidRPr="001E689F">
        <w:rPr>
          <w:rFonts w:ascii="Arial Narrow" w:hAnsi="Arial Narrow"/>
          <w:sz w:val="22"/>
          <w:szCs w:val="22"/>
        </w:rPr>
        <w:t xml:space="preserve">la Población Económicamente Activa (PEA), es decir, las personas que en la semana pasada a la entrevista se encontraban ocupadas o desocupadas, fueron 609.8 mil en el estado de Nayarit, 23.8 mil menos que en el </w:t>
      </w:r>
      <w:r w:rsidR="001E689F">
        <w:rPr>
          <w:rFonts w:ascii="Arial Narrow" w:hAnsi="Arial Narrow"/>
          <w:sz w:val="22"/>
          <w:szCs w:val="22"/>
        </w:rPr>
        <w:t xml:space="preserve">mismo periodo del año anterior. </w:t>
      </w:r>
      <w:r w:rsidR="001E689F" w:rsidRPr="001E689F">
        <w:rPr>
          <w:rFonts w:ascii="Arial Narrow" w:hAnsi="Arial Narrow"/>
          <w:sz w:val="22"/>
          <w:szCs w:val="22"/>
        </w:rPr>
        <w:t>Por sexo, la PEA masculina fue de 360.2 mil, 10.3 mil personas menos; y la PEA femenina fue de 249.7 mil, 13.5 mil menos en comparación con lo registrado en el cuarto trimestre de 2020.</w:t>
      </w:r>
    </w:p>
    <w:p w:rsidR="00317678" w:rsidRDefault="00317678" w:rsidP="00B83815">
      <w:pPr>
        <w:pStyle w:val="Sangradetextonormal"/>
        <w:ind w:firstLine="720"/>
        <w:rPr>
          <w:rFonts w:ascii="Arial Narrow" w:hAnsi="Arial Narrow"/>
          <w:sz w:val="22"/>
          <w:szCs w:val="22"/>
        </w:rPr>
      </w:pPr>
    </w:p>
    <w:p w:rsidR="00D17AB2" w:rsidRDefault="004B12FD" w:rsidP="00D17AB2">
      <w:pPr>
        <w:pStyle w:val="Sangradetextonormal"/>
        <w:ind w:firstLine="720"/>
        <w:rPr>
          <w:rFonts w:ascii="Arial Narrow" w:hAnsi="Arial Narrow"/>
          <w:sz w:val="22"/>
          <w:szCs w:val="22"/>
        </w:rPr>
      </w:pPr>
      <w:r w:rsidRPr="004B12FD">
        <w:rPr>
          <w:rFonts w:ascii="Arial Narrow" w:hAnsi="Arial Narrow"/>
          <w:sz w:val="22"/>
          <w:szCs w:val="22"/>
        </w:rPr>
        <w:t>Durante el cuarto trimestre de 202</w:t>
      </w:r>
      <w:r w:rsidR="001E689F">
        <w:rPr>
          <w:rFonts w:ascii="Arial Narrow" w:hAnsi="Arial Narrow"/>
          <w:sz w:val="22"/>
          <w:szCs w:val="22"/>
        </w:rPr>
        <w:t>1</w:t>
      </w:r>
      <w:r w:rsidR="001E689F" w:rsidRPr="001E689F">
        <w:rPr>
          <w:rFonts w:ascii="Arial Narrow" w:hAnsi="Arial Narrow"/>
          <w:sz w:val="22"/>
          <w:szCs w:val="22"/>
        </w:rPr>
        <w:t xml:space="preserve">, </w:t>
      </w:r>
      <w:r w:rsidR="005D5017">
        <w:rPr>
          <w:rFonts w:ascii="Arial Narrow" w:hAnsi="Arial Narrow"/>
          <w:sz w:val="22"/>
          <w:szCs w:val="22"/>
        </w:rPr>
        <w:t xml:space="preserve">la población ocupada en Nayarit </w:t>
      </w:r>
      <w:r w:rsidR="001E689F" w:rsidRPr="001E689F">
        <w:rPr>
          <w:rFonts w:ascii="Arial Narrow" w:hAnsi="Arial Narrow"/>
          <w:sz w:val="22"/>
          <w:szCs w:val="22"/>
        </w:rPr>
        <w:t>fue de 594 mil, cifra inferior en 14 mil personas, comparada con la del cuarto trimestre de 2020. La población ocupada de hombres fue de 350 mil, monto inferior en 2 mil; y la población ocupada de mujeres fue de 244 mil, 12 mil menos que en el mismo periodo de comparación.</w:t>
      </w:r>
    </w:p>
    <w:p w:rsidR="00D17AB2" w:rsidRDefault="00D17AB2" w:rsidP="00D17AB2">
      <w:pPr>
        <w:pStyle w:val="Sangradetextonormal"/>
        <w:ind w:firstLine="720"/>
        <w:rPr>
          <w:rFonts w:ascii="Arial Narrow" w:hAnsi="Arial Narrow"/>
          <w:sz w:val="22"/>
          <w:szCs w:val="22"/>
        </w:rPr>
      </w:pPr>
    </w:p>
    <w:p w:rsidR="004B12FD" w:rsidRDefault="001E689F" w:rsidP="001E689F">
      <w:pPr>
        <w:pStyle w:val="Sangradetextonormal"/>
        <w:ind w:firstLine="720"/>
        <w:rPr>
          <w:rFonts w:ascii="Arial Narrow" w:hAnsi="Arial Narrow"/>
          <w:sz w:val="22"/>
          <w:szCs w:val="22"/>
        </w:rPr>
      </w:pPr>
      <w:r>
        <w:rPr>
          <w:rFonts w:ascii="Arial Narrow" w:hAnsi="Arial Narrow"/>
          <w:sz w:val="22"/>
          <w:szCs w:val="22"/>
        </w:rPr>
        <w:t>L</w:t>
      </w:r>
      <w:r w:rsidRPr="001E689F">
        <w:rPr>
          <w:rFonts w:ascii="Arial Narrow" w:hAnsi="Arial Narrow"/>
          <w:sz w:val="22"/>
          <w:szCs w:val="22"/>
        </w:rPr>
        <w:t>a distribución según su posición en la ocupación indica que los trabajadores subordinados y remunerados concentraron 64.3% del total de la población ocupada y los trabajadores por cuenta propia representaron 23.5 por ciento.</w:t>
      </w:r>
      <w:r>
        <w:rPr>
          <w:rFonts w:ascii="Arial Narrow" w:hAnsi="Arial Narrow"/>
          <w:sz w:val="22"/>
          <w:szCs w:val="22"/>
        </w:rPr>
        <w:t xml:space="preserve"> </w:t>
      </w:r>
      <w:r w:rsidRPr="001E689F">
        <w:rPr>
          <w:rFonts w:ascii="Arial Narrow" w:hAnsi="Arial Narrow"/>
          <w:sz w:val="22"/>
          <w:szCs w:val="22"/>
        </w:rPr>
        <w:t>Entre el cuarto trimestre de 2020 y 2021, estos son los dos grupos ocupacionales más relevantes y en términos absolutos, registraron un decremento de 30.8 mil y un aumento de 3.7 mil personas, respectivamente.</w:t>
      </w:r>
    </w:p>
    <w:p w:rsidR="004B12FD" w:rsidRDefault="004B12FD" w:rsidP="004B12FD">
      <w:pPr>
        <w:pStyle w:val="Sangradetextonormal"/>
        <w:ind w:firstLine="720"/>
        <w:rPr>
          <w:rFonts w:ascii="Arial Narrow" w:hAnsi="Arial Narrow"/>
          <w:sz w:val="22"/>
          <w:szCs w:val="22"/>
        </w:rPr>
      </w:pPr>
    </w:p>
    <w:p w:rsidR="00B83815" w:rsidRDefault="004B12FD" w:rsidP="005D5017">
      <w:pPr>
        <w:pStyle w:val="Sangradetextonormal"/>
        <w:ind w:firstLine="720"/>
        <w:rPr>
          <w:rFonts w:ascii="Arial Narrow" w:hAnsi="Arial Narrow"/>
          <w:sz w:val="22"/>
          <w:szCs w:val="22"/>
        </w:rPr>
      </w:pPr>
      <w:r w:rsidRPr="004B12FD">
        <w:rPr>
          <w:rFonts w:ascii="Arial Narrow" w:hAnsi="Arial Narrow"/>
          <w:sz w:val="22"/>
          <w:szCs w:val="22"/>
        </w:rPr>
        <w:t xml:space="preserve">La estructura sectorial de la ocupación reporta que </w:t>
      </w:r>
      <w:r w:rsidR="005D5017" w:rsidRPr="005D5017">
        <w:rPr>
          <w:rFonts w:ascii="Arial Narrow" w:hAnsi="Arial Narrow"/>
          <w:sz w:val="22"/>
          <w:szCs w:val="22"/>
        </w:rPr>
        <w:t>las actividades terciarias siguen concentrando la mayor parte de la población ocupada, con una participación de 64.9% y un decremento en términos absolutos de 12.8 mil personas respecto al cuarto trimestre de 2020.</w:t>
      </w:r>
      <w:r w:rsidR="005D5017">
        <w:rPr>
          <w:rFonts w:ascii="Arial Narrow" w:hAnsi="Arial Narrow"/>
          <w:sz w:val="22"/>
          <w:szCs w:val="22"/>
        </w:rPr>
        <w:t xml:space="preserve"> </w:t>
      </w:r>
      <w:r w:rsidR="005D5017" w:rsidRPr="005D5017">
        <w:rPr>
          <w:rFonts w:ascii="Arial Narrow" w:hAnsi="Arial Narrow"/>
          <w:sz w:val="22"/>
          <w:szCs w:val="22"/>
        </w:rPr>
        <w:t>El sector comercio, con una participación de 19.0%, registra un aumento de 11.4 mil ocupados, cifra que representa un incremento de 2.3 puntos porcentuales en comparación con el cuarto trimestre de 2020.</w:t>
      </w:r>
      <w:r w:rsidR="005D5017">
        <w:rPr>
          <w:rFonts w:ascii="Arial Narrow" w:hAnsi="Arial Narrow"/>
          <w:sz w:val="22"/>
          <w:szCs w:val="22"/>
        </w:rPr>
        <w:t xml:space="preserve"> </w:t>
      </w:r>
      <w:r w:rsidR="005D5017" w:rsidRPr="005D5017">
        <w:rPr>
          <w:rFonts w:ascii="Arial Narrow" w:hAnsi="Arial Narrow"/>
          <w:sz w:val="22"/>
          <w:szCs w:val="22"/>
        </w:rPr>
        <w:t>Los restaurantes y servicios de alojamiento, con una participación de 12.8%, muestran un aumento de 18.9 mil personas ocupadas, es decir, 3.4 puntos porcentuales más.</w:t>
      </w:r>
      <w:r w:rsidR="005D5017">
        <w:rPr>
          <w:rFonts w:ascii="Arial Narrow" w:hAnsi="Arial Narrow"/>
          <w:sz w:val="22"/>
          <w:szCs w:val="22"/>
        </w:rPr>
        <w:t xml:space="preserve"> </w:t>
      </w:r>
      <w:r w:rsidR="005D5017" w:rsidRPr="005D5017">
        <w:rPr>
          <w:rFonts w:ascii="Arial Narrow" w:hAnsi="Arial Narrow"/>
          <w:sz w:val="22"/>
          <w:szCs w:val="22"/>
        </w:rPr>
        <w:t>servicios diversos, con una participación de 10.6%, reportan un incremento de 4.3 mil personas ocupadas, equivalente a 0.9 puntos por</w:t>
      </w:r>
      <w:r w:rsidR="005D5017">
        <w:rPr>
          <w:rFonts w:ascii="Arial Narrow" w:hAnsi="Arial Narrow"/>
          <w:sz w:val="22"/>
          <w:szCs w:val="22"/>
        </w:rPr>
        <w:t xml:space="preserve">centuales más en dicho periodo. </w:t>
      </w:r>
      <w:r w:rsidR="005D5017" w:rsidRPr="005D5017">
        <w:rPr>
          <w:rFonts w:ascii="Arial Narrow" w:hAnsi="Arial Narrow"/>
          <w:sz w:val="22"/>
          <w:szCs w:val="22"/>
        </w:rPr>
        <w:t xml:space="preserve">Los servicios sociales, con una participación de </w:t>
      </w:r>
      <w:r w:rsidR="005D5017" w:rsidRPr="005D5017">
        <w:rPr>
          <w:rFonts w:ascii="Arial Narrow" w:hAnsi="Arial Narrow"/>
          <w:sz w:val="22"/>
          <w:szCs w:val="22"/>
        </w:rPr>
        <w:lastRenderedPageBreak/>
        <w:t>8.4% en el total de la ocupación, reportan un decremento de 7.4 mil ocupados respecto al cuarto trimestre de 2020.</w:t>
      </w:r>
    </w:p>
    <w:p w:rsidR="00D17AB2" w:rsidRDefault="00D17AB2" w:rsidP="00D17AB2">
      <w:pPr>
        <w:pStyle w:val="Sangradetextonormal"/>
        <w:ind w:firstLine="720"/>
        <w:rPr>
          <w:rFonts w:ascii="Arial Narrow" w:hAnsi="Arial Narrow"/>
          <w:sz w:val="22"/>
          <w:szCs w:val="22"/>
        </w:rPr>
      </w:pPr>
    </w:p>
    <w:p w:rsidR="004B12FD" w:rsidRDefault="005D5017" w:rsidP="004B12FD">
      <w:pPr>
        <w:pStyle w:val="Sangradetextonormal"/>
        <w:ind w:firstLine="720"/>
        <w:rPr>
          <w:rFonts w:ascii="Arial Narrow" w:hAnsi="Arial Narrow"/>
          <w:sz w:val="22"/>
          <w:szCs w:val="22"/>
        </w:rPr>
      </w:pPr>
      <w:r>
        <w:rPr>
          <w:rFonts w:ascii="Arial Narrow" w:hAnsi="Arial Narrow"/>
          <w:sz w:val="22"/>
          <w:szCs w:val="22"/>
        </w:rPr>
        <w:t>Ahora bien, e</w:t>
      </w:r>
      <w:r w:rsidR="004B12FD" w:rsidRPr="004B12FD">
        <w:rPr>
          <w:rFonts w:ascii="Arial Narrow" w:hAnsi="Arial Narrow"/>
          <w:sz w:val="22"/>
          <w:szCs w:val="22"/>
        </w:rPr>
        <w:t xml:space="preserve">n la ocupación </w:t>
      </w:r>
      <w:r w:rsidRPr="005D5017">
        <w:rPr>
          <w:rFonts w:ascii="Arial Narrow" w:hAnsi="Arial Narrow"/>
          <w:sz w:val="22"/>
          <w:szCs w:val="22"/>
        </w:rPr>
        <w:t>por ámbito y tamaño de la unidad económica (con una proporción de ocupación en el ámbito no agropecuario de 81.9%) tuvo un descenso de 10.5 mil ocupados respecto al cuarto trimestre de 2020. En los micronegocios aumentaron 21.0 mil los ocupados, principalmente en unidades económicas con establecimiento para operar, en donde el incremento fue de 29.2 mil ocupados.</w:t>
      </w:r>
    </w:p>
    <w:p w:rsidR="004B12FD" w:rsidRPr="00E55E3E" w:rsidRDefault="004B12FD" w:rsidP="004B12FD">
      <w:pPr>
        <w:pStyle w:val="Sangradetextonormal"/>
        <w:ind w:firstLine="720"/>
        <w:rPr>
          <w:rFonts w:ascii="Arial Narrow" w:hAnsi="Arial Narrow"/>
          <w:sz w:val="22"/>
          <w:szCs w:val="22"/>
        </w:rPr>
      </w:pPr>
    </w:p>
    <w:p w:rsidR="00B83815" w:rsidRPr="00E55E3E" w:rsidRDefault="00B83815" w:rsidP="00B83815">
      <w:pPr>
        <w:pStyle w:val="Sangradetextonormal"/>
        <w:ind w:firstLine="720"/>
        <w:rPr>
          <w:rFonts w:ascii="Arial Narrow" w:hAnsi="Arial Narrow"/>
          <w:sz w:val="22"/>
          <w:szCs w:val="22"/>
        </w:rPr>
      </w:pPr>
      <w:r w:rsidRPr="00E55E3E">
        <w:rPr>
          <w:rFonts w:ascii="Arial Narrow" w:hAnsi="Arial Narrow"/>
          <w:sz w:val="22"/>
          <w:szCs w:val="22"/>
        </w:rPr>
        <w:t>Por otra parte y con base en información publicada por la</w:t>
      </w:r>
      <w:r w:rsidR="00B95AAC">
        <w:rPr>
          <w:rFonts w:ascii="Arial Narrow" w:hAnsi="Arial Narrow"/>
          <w:sz w:val="22"/>
          <w:szCs w:val="22"/>
        </w:rPr>
        <w:t xml:space="preserve"> </w:t>
      </w:r>
      <w:r w:rsidRPr="00E55E3E">
        <w:rPr>
          <w:rFonts w:ascii="Arial Narrow" w:hAnsi="Arial Narrow"/>
          <w:sz w:val="22"/>
          <w:szCs w:val="22"/>
        </w:rPr>
        <w:t>Secretaría del Trabajo y Previsión Social en su portal oficial de inte</w:t>
      </w:r>
      <w:r w:rsidR="00962238">
        <w:rPr>
          <w:rFonts w:ascii="Arial Narrow" w:hAnsi="Arial Narrow"/>
          <w:sz w:val="22"/>
          <w:szCs w:val="22"/>
        </w:rPr>
        <w:t>rnet, al 31 de Diciembre de 20</w:t>
      </w:r>
      <w:r w:rsidR="005D5017">
        <w:rPr>
          <w:rFonts w:ascii="Arial Narrow" w:hAnsi="Arial Narrow"/>
          <w:sz w:val="22"/>
          <w:szCs w:val="22"/>
        </w:rPr>
        <w:t>21</w:t>
      </w:r>
      <w:r w:rsidRPr="00E55E3E">
        <w:rPr>
          <w:rFonts w:ascii="Arial Narrow" w:hAnsi="Arial Narrow"/>
          <w:sz w:val="22"/>
          <w:szCs w:val="22"/>
        </w:rPr>
        <w:t xml:space="preserve"> el número de trabajadores asegurados en el IMSS (Instituto Mexicano del Seguro Social) correspondiente al Estado de Nayari</w:t>
      </w:r>
      <w:r w:rsidR="0018094D">
        <w:rPr>
          <w:rFonts w:ascii="Arial Narrow" w:hAnsi="Arial Narrow"/>
          <w:sz w:val="22"/>
          <w:szCs w:val="22"/>
        </w:rPr>
        <w:t xml:space="preserve">t fue de </w:t>
      </w:r>
      <w:r w:rsidR="00962238" w:rsidRPr="00962238">
        <w:rPr>
          <w:rFonts w:ascii="Arial Narrow" w:hAnsi="Arial Narrow"/>
          <w:sz w:val="22"/>
          <w:szCs w:val="22"/>
        </w:rPr>
        <w:t>1</w:t>
      </w:r>
      <w:r w:rsidR="005D5017">
        <w:rPr>
          <w:rFonts w:ascii="Arial Narrow" w:hAnsi="Arial Narrow"/>
          <w:sz w:val="22"/>
          <w:szCs w:val="22"/>
        </w:rPr>
        <w:t>60</w:t>
      </w:r>
      <w:r w:rsidR="00962238">
        <w:rPr>
          <w:rFonts w:ascii="Arial Narrow" w:hAnsi="Arial Narrow"/>
          <w:sz w:val="22"/>
          <w:szCs w:val="22"/>
        </w:rPr>
        <w:t>,</w:t>
      </w:r>
      <w:r w:rsidR="005D5017">
        <w:rPr>
          <w:rFonts w:ascii="Arial Narrow" w:hAnsi="Arial Narrow"/>
          <w:sz w:val="22"/>
          <w:szCs w:val="22"/>
        </w:rPr>
        <w:t>665</w:t>
      </w:r>
      <w:r w:rsidR="00962238">
        <w:rPr>
          <w:rFonts w:ascii="Arial Narrow" w:hAnsi="Arial Narrow"/>
          <w:sz w:val="22"/>
          <w:szCs w:val="22"/>
        </w:rPr>
        <w:t xml:space="preserve">, </w:t>
      </w:r>
      <w:r w:rsidRPr="00E55E3E">
        <w:rPr>
          <w:rFonts w:ascii="Arial Narrow" w:hAnsi="Arial Narrow"/>
          <w:sz w:val="22"/>
          <w:szCs w:val="22"/>
        </w:rPr>
        <w:t>teniendo durante este año el comportamiento que se aprecia en la gráfica siguiente:</w:t>
      </w:r>
    </w:p>
    <w:p w:rsidR="00B83815" w:rsidRDefault="00B83815" w:rsidP="00B83815">
      <w:pPr>
        <w:pStyle w:val="Sangradetextonormal"/>
        <w:ind w:firstLine="720"/>
        <w:rPr>
          <w:rFonts w:ascii="Arial Narrow" w:hAnsi="Arial Narrow"/>
          <w:sz w:val="25"/>
        </w:rPr>
      </w:pPr>
    </w:p>
    <w:p w:rsidR="00B83815" w:rsidRPr="00992D26" w:rsidRDefault="005D5017" w:rsidP="00B83815">
      <w:pPr>
        <w:pStyle w:val="Sangradetextonormal"/>
        <w:ind w:firstLine="720"/>
        <w:rPr>
          <w:rFonts w:ascii="Arial Narrow" w:hAnsi="Arial Narrow"/>
          <w:sz w:val="25"/>
        </w:rPr>
      </w:pPr>
      <w:r w:rsidRPr="005D5017">
        <w:rPr>
          <w:noProof/>
          <w:lang w:val="es-MX" w:eastAsia="es-MX"/>
        </w:rPr>
        <w:drawing>
          <wp:anchor distT="0" distB="0" distL="114300" distR="114300" simplePos="0" relativeHeight="252022784" behindDoc="0" locked="0" layoutInCell="1" allowOverlap="1" wp14:anchorId="12F9A69F" wp14:editId="0E79E20E">
            <wp:simplePos x="0" y="0"/>
            <wp:positionH relativeFrom="column">
              <wp:posOffset>254000</wp:posOffset>
            </wp:positionH>
            <wp:positionV relativeFrom="paragraph">
              <wp:posOffset>45720</wp:posOffset>
            </wp:positionV>
            <wp:extent cx="5343525" cy="30480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3525"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Default="00B83815" w:rsidP="00B83815">
      <w:pPr>
        <w:pStyle w:val="Sangradetextonormal"/>
        <w:ind w:firstLine="720"/>
        <w:rPr>
          <w:rFonts w:ascii="Arial Narrow" w:hAnsi="Arial Narrow"/>
          <w:sz w:val="25"/>
        </w:rPr>
      </w:pPr>
    </w:p>
    <w:p w:rsidR="005D5017" w:rsidRPr="00992D26" w:rsidRDefault="005D5017"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left="708" w:firstLine="360"/>
        <w:jc w:val="left"/>
        <w:rPr>
          <w:rFonts w:ascii="Arial Narrow" w:hAnsi="Arial Narrow"/>
          <w:bCs/>
          <w:sz w:val="16"/>
          <w:szCs w:val="16"/>
        </w:rPr>
      </w:pPr>
    </w:p>
    <w:p w:rsidR="00B83815" w:rsidRPr="00D17AB2" w:rsidRDefault="00B83815" w:rsidP="00B83815">
      <w:pPr>
        <w:pStyle w:val="Sangradetextonormal"/>
        <w:ind w:left="708" w:firstLine="360"/>
        <w:jc w:val="left"/>
        <w:rPr>
          <w:rFonts w:ascii="Arial Narrow" w:hAnsi="Arial Narrow"/>
          <w:bCs/>
          <w:sz w:val="4"/>
          <w:szCs w:val="16"/>
        </w:rPr>
      </w:pPr>
    </w:p>
    <w:p w:rsidR="00B83815" w:rsidRDefault="009108FC" w:rsidP="009108FC">
      <w:pPr>
        <w:pStyle w:val="Sangradetextonormal"/>
        <w:ind w:firstLine="0"/>
        <w:rPr>
          <w:rFonts w:ascii="Arial Narrow" w:hAnsi="Arial Narrow"/>
          <w:bCs/>
          <w:sz w:val="20"/>
        </w:rPr>
      </w:pPr>
      <w:r>
        <w:rPr>
          <w:rFonts w:ascii="Arial Narrow" w:hAnsi="Arial Narrow"/>
          <w:bCs/>
          <w:sz w:val="20"/>
        </w:rPr>
        <w:t xml:space="preserve">         </w:t>
      </w:r>
      <w:r w:rsidR="00B83815">
        <w:rPr>
          <w:rFonts w:ascii="Arial Narrow" w:hAnsi="Arial Narrow"/>
          <w:bCs/>
          <w:sz w:val="20"/>
        </w:rPr>
        <w:t>Fuente: Secretaría del Trabajo y Previsión Social</w:t>
      </w:r>
    </w:p>
    <w:p w:rsidR="005D5017" w:rsidRDefault="005D5017" w:rsidP="009108FC">
      <w:pPr>
        <w:pStyle w:val="Sangradetextonormal"/>
        <w:ind w:firstLine="0"/>
        <w:rPr>
          <w:rFonts w:ascii="Arial Narrow" w:hAnsi="Arial Narrow"/>
          <w:bCs/>
          <w:sz w:val="20"/>
        </w:rPr>
      </w:pPr>
    </w:p>
    <w:p w:rsidR="00B83815" w:rsidRPr="00E55E3E" w:rsidRDefault="00B83815" w:rsidP="00B83815">
      <w:pPr>
        <w:pStyle w:val="Sangradetextonormal"/>
        <w:numPr>
          <w:ilvl w:val="0"/>
          <w:numId w:val="9"/>
        </w:numPr>
        <w:jc w:val="left"/>
        <w:rPr>
          <w:rFonts w:ascii="Arial Narrow" w:hAnsi="Arial Narrow"/>
          <w:b/>
          <w:bCs/>
          <w:szCs w:val="28"/>
        </w:rPr>
      </w:pPr>
      <w:r w:rsidRPr="00E55E3E">
        <w:rPr>
          <w:rFonts w:ascii="Arial Narrow" w:hAnsi="Arial Narrow"/>
          <w:b/>
          <w:bCs/>
          <w:szCs w:val="28"/>
        </w:rPr>
        <w:lastRenderedPageBreak/>
        <w:t>Inflación</w:t>
      </w:r>
    </w:p>
    <w:p w:rsidR="00B83815" w:rsidRPr="00DC771F" w:rsidRDefault="00B83815" w:rsidP="00B83815">
      <w:pPr>
        <w:pStyle w:val="Sangradetextonormal"/>
        <w:ind w:left="708" w:firstLine="0"/>
        <w:jc w:val="left"/>
        <w:rPr>
          <w:rFonts w:ascii="Arial Narrow" w:hAnsi="Arial Narrow"/>
          <w:b/>
          <w:bCs/>
          <w:sz w:val="10"/>
          <w:szCs w:val="32"/>
        </w:rPr>
      </w:pPr>
    </w:p>
    <w:p w:rsidR="00B83815" w:rsidRDefault="004C7006" w:rsidP="00B83815">
      <w:pPr>
        <w:pStyle w:val="Sangradetextonormal"/>
        <w:ind w:firstLine="720"/>
        <w:rPr>
          <w:rFonts w:ascii="Arial Narrow" w:hAnsi="Arial Narrow"/>
          <w:sz w:val="22"/>
          <w:szCs w:val="22"/>
        </w:rPr>
      </w:pPr>
      <w:r>
        <w:rPr>
          <w:rFonts w:ascii="Arial Narrow" w:hAnsi="Arial Narrow"/>
          <w:sz w:val="22"/>
          <w:szCs w:val="22"/>
        </w:rPr>
        <w:t>En diciembre de 20</w:t>
      </w:r>
      <w:r w:rsidR="005D5017">
        <w:rPr>
          <w:rFonts w:ascii="Arial Narrow" w:hAnsi="Arial Narrow"/>
          <w:sz w:val="22"/>
          <w:szCs w:val="22"/>
        </w:rPr>
        <w:t>21</w:t>
      </w:r>
      <w:r w:rsidR="00B83815" w:rsidRPr="00E55E3E">
        <w:rPr>
          <w:rFonts w:ascii="Arial Narrow" w:hAnsi="Arial Narrow"/>
          <w:sz w:val="22"/>
          <w:szCs w:val="22"/>
        </w:rPr>
        <w:t xml:space="preserve"> el Índice Nacional de Precios al Consumidor (INPC) en la ciudad de Tepic, capital del Estado de Nayarit</w:t>
      </w:r>
      <w:r w:rsidR="003B5D70">
        <w:rPr>
          <w:rFonts w:ascii="Arial Narrow" w:hAnsi="Arial Narrow"/>
          <w:sz w:val="22"/>
          <w:szCs w:val="22"/>
        </w:rPr>
        <w:t xml:space="preserve">, </w:t>
      </w:r>
      <w:r w:rsidR="0018094D">
        <w:rPr>
          <w:rFonts w:ascii="Arial Narrow" w:hAnsi="Arial Narrow"/>
          <w:sz w:val="22"/>
          <w:szCs w:val="22"/>
        </w:rPr>
        <w:t xml:space="preserve">se ubicó en la cifra de </w:t>
      </w:r>
      <w:r w:rsidR="00455DE6" w:rsidRPr="00455DE6">
        <w:rPr>
          <w:rFonts w:ascii="Arial Narrow" w:hAnsi="Arial Narrow"/>
          <w:sz w:val="22"/>
          <w:szCs w:val="22"/>
        </w:rPr>
        <w:t>1</w:t>
      </w:r>
      <w:r w:rsidR="002D517A">
        <w:rPr>
          <w:rFonts w:ascii="Arial Narrow" w:hAnsi="Arial Narrow"/>
          <w:sz w:val="22"/>
          <w:szCs w:val="22"/>
        </w:rPr>
        <w:t>15</w:t>
      </w:r>
      <w:r w:rsidR="00455DE6" w:rsidRPr="00455DE6">
        <w:rPr>
          <w:rFonts w:ascii="Arial Narrow" w:hAnsi="Arial Narrow"/>
          <w:sz w:val="22"/>
          <w:szCs w:val="22"/>
        </w:rPr>
        <w:t>.</w:t>
      </w:r>
      <w:r w:rsidR="002D517A">
        <w:rPr>
          <w:rFonts w:ascii="Arial Narrow" w:hAnsi="Arial Narrow"/>
          <w:sz w:val="22"/>
          <w:szCs w:val="22"/>
        </w:rPr>
        <w:t>6450</w:t>
      </w:r>
      <w:r w:rsidR="0018094D">
        <w:rPr>
          <w:rFonts w:ascii="Arial Narrow" w:hAnsi="Arial Narrow"/>
          <w:sz w:val="22"/>
          <w:szCs w:val="22"/>
        </w:rPr>
        <w:t>.</w:t>
      </w:r>
      <w:r w:rsidR="00B83815" w:rsidRPr="00E55E3E">
        <w:rPr>
          <w:rFonts w:ascii="Arial Narrow" w:hAnsi="Arial Narrow"/>
          <w:sz w:val="22"/>
          <w:szCs w:val="22"/>
        </w:rPr>
        <w:t xml:space="preserve"> De esta forma</w:t>
      </w:r>
      <w:r w:rsidR="00B063C1">
        <w:rPr>
          <w:rFonts w:ascii="Arial Narrow" w:hAnsi="Arial Narrow"/>
          <w:sz w:val="22"/>
          <w:szCs w:val="22"/>
        </w:rPr>
        <w:t>,</w:t>
      </w:r>
      <w:r w:rsidR="00B83815" w:rsidRPr="00E55E3E">
        <w:rPr>
          <w:rFonts w:ascii="Arial Narrow" w:hAnsi="Arial Narrow"/>
          <w:sz w:val="22"/>
          <w:szCs w:val="22"/>
        </w:rPr>
        <w:t xml:space="preserve"> la tasa de inflación </w:t>
      </w:r>
      <w:r w:rsidR="0018094D">
        <w:rPr>
          <w:rFonts w:ascii="Arial Narrow" w:hAnsi="Arial Narrow"/>
          <w:sz w:val="22"/>
          <w:szCs w:val="22"/>
        </w:rPr>
        <w:t>anual</w:t>
      </w:r>
      <w:r w:rsidR="00547DC2">
        <w:rPr>
          <w:rFonts w:ascii="Arial Narrow" w:hAnsi="Arial Narrow"/>
          <w:sz w:val="22"/>
          <w:szCs w:val="22"/>
        </w:rPr>
        <w:t xml:space="preserve"> se situó en </w:t>
      </w:r>
      <w:r w:rsidR="005D5017">
        <w:rPr>
          <w:rFonts w:ascii="Arial Narrow" w:hAnsi="Arial Narrow"/>
          <w:sz w:val="22"/>
          <w:szCs w:val="22"/>
        </w:rPr>
        <w:t>7.35</w:t>
      </w:r>
      <w:r w:rsidR="00B83815" w:rsidRPr="00E55E3E">
        <w:rPr>
          <w:rFonts w:ascii="Arial Narrow" w:hAnsi="Arial Narrow"/>
          <w:sz w:val="22"/>
          <w:szCs w:val="22"/>
        </w:rPr>
        <w:t xml:space="preserve"> por ciento, mient</w:t>
      </w:r>
      <w:r>
        <w:rPr>
          <w:rFonts w:ascii="Arial Narrow" w:hAnsi="Arial Narrow"/>
          <w:sz w:val="22"/>
          <w:szCs w:val="22"/>
        </w:rPr>
        <w:t>ras que en el último mes de 20</w:t>
      </w:r>
      <w:r w:rsidR="005D5017">
        <w:rPr>
          <w:rFonts w:ascii="Arial Narrow" w:hAnsi="Arial Narrow"/>
          <w:sz w:val="22"/>
          <w:szCs w:val="22"/>
        </w:rPr>
        <w:t>20</w:t>
      </w:r>
      <w:r w:rsidR="00DC771F">
        <w:rPr>
          <w:rFonts w:ascii="Arial Narrow" w:hAnsi="Arial Narrow"/>
          <w:sz w:val="22"/>
          <w:szCs w:val="22"/>
        </w:rPr>
        <w:t xml:space="preserve"> el INPC fue de 107.7270</w:t>
      </w:r>
      <w:r w:rsidR="00B83815" w:rsidRPr="00E55E3E">
        <w:rPr>
          <w:rFonts w:ascii="Arial Narrow" w:hAnsi="Arial Narrow"/>
          <w:sz w:val="22"/>
          <w:szCs w:val="22"/>
        </w:rPr>
        <w:t xml:space="preserve"> </w:t>
      </w:r>
      <w:r w:rsidR="00DC771F">
        <w:rPr>
          <w:rFonts w:ascii="Arial Narrow" w:hAnsi="Arial Narrow"/>
          <w:sz w:val="22"/>
          <w:szCs w:val="22"/>
        </w:rPr>
        <w:t xml:space="preserve">y </w:t>
      </w:r>
      <w:r w:rsidR="003B5D70">
        <w:rPr>
          <w:rFonts w:ascii="Arial Narrow" w:hAnsi="Arial Narrow"/>
          <w:sz w:val="22"/>
          <w:szCs w:val="22"/>
        </w:rPr>
        <w:t>la inflación se ubicó</w:t>
      </w:r>
      <w:r>
        <w:rPr>
          <w:rFonts w:ascii="Arial Narrow" w:hAnsi="Arial Narrow"/>
          <w:sz w:val="22"/>
          <w:szCs w:val="22"/>
        </w:rPr>
        <w:t xml:space="preserve"> en </w:t>
      </w:r>
      <w:r w:rsidR="005D5017">
        <w:rPr>
          <w:rFonts w:ascii="Arial Narrow" w:hAnsi="Arial Narrow"/>
          <w:sz w:val="22"/>
          <w:szCs w:val="22"/>
        </w:rPr>
        <w:t>2.81</w:t>
      </w:r>
      <w:r w:rsidR="00DC771F">
        <w:rPr>
          <w:rFonts w:ascii="Arial Narrow" w:hAnsi="Arial Narrow"/>
          <w:sz w:val="22"/>
          <w:szCs w:val="22"/>
        </w:rPr>
        <w:t xml:space="preserve"> por ciento, toda vez que en Diciembre de 2019 el valor del INPC era de 104.7810.</w:t>
      </w:r>
    </w:p>
    <w:p w:rsidR="00AB60C4" w:rsidRPr="00E55E3E" w:rsidRDefault="00AB60C4" w:rsidP="00B83815">
      <w:pPr>
        <w:pStyle w:val="Sangradetextonormal"/>
        <w:ind w:firstLine="720"/>
        <w:rPr>
          <w:rFonts w:ascii="Arial Narrow" w:hAnsi="Arial Narrow"/>
          <w:sz w:val="22"/>
          <w:szCs w:val="22"/>
        </w:rPr>
      </w:pPr>
    </w:p>
    <w:p w:rsidR="00B83815" w:rsidRPr="00E55E3E" w:rsidRDefault="00B83815" w:rsidP="00B83815">
      <w:pPr>
        <w:pStyle w:val="Sangradetextonormal"/>
        <w:ind w:firstLine="0"/>
        <w:jc w:val="left"/>
        <w:rPr>
          <w:rFonts w:ascii="Arial Narrow" w:hAnsi="Arial Narrow"/>
          <w:b/>
          <w:bCs/>
          <w:szCs w:val="28"/>
        </w:rPr>
      </w:pPr>
      <w:r w:rsidRPr="00E55E3E">
        <w:rPr>
          <w:rFonts w:ascii="Arial Narrow" w:hAnsi="Arial Narrow"/>
          <w:b/>
          <w:bCs/>
          <w:szCs w:val="28"/>
        </w:rPr>
        <w:t>2.1.2.3.- Postura Fiscal</w:t>
      </w:r>
    </w:p>
    <w:p w:rsidR="00B83815" w:rsidRPr="00992D26" w:rsidRDefault="00B83815" w:rsidP="00B83815">
      <w:pPr>
        <w:pStyle w:val="Sangradetextonormal"/>
        <w:spacing w:line="240" w:lineRule="exact"/>
        <w:ind w:left="539" w:firstLine="0"/>
        <w:jc w:val="left"/>
        <w:rPr>
          <w:rFonts w:ascii="Arial Narrow" w:hAnsi="Arial Narrow"/>
          <w:b/>
          <w:bCs/>
          <w:sz w:val="32"/>
          <w:szCs w:val="32"/>
        </w:rPr>
      </w:pPr>
    </w:p>
    <w:p w:rsidR="00B83815" w:rsidRDefault="00B83815" w:rsidP="00B83815">
      <w:pPr>
        <w:pStyle w:val="Sangradetextonormal"/>
        <w:ind w:firstLine="720"/>
        <w:rPr>
          <w:rFonts w:ascii="Arial Narrow" w:hAnsi="Arial Narrow"/>
          <w:sz w:val="22"/>
          <w:szCs w:val="22"/>
        </w:rPr>
      </w:pPr>
      <w:r w:rsidRPr="001F596A">
        <w:rPr>
          <w:rFonts w:ascii="Arial Narrow" w:hAnsi="Arial Narrow"/>
          <w:sz w:val="22"/>
          <w:szCs w:val="22"/>
        </w:rPr>
        <w:t>En la Iniciativa de Ley de Ingresos y Proyecto de Presupuesto de Egres</w:t>
      </w:r>
      <w:r w:rsidR="000052FF" w:rsidRPr="001F596A">
        <w:rPr>
          <w:rFonts w:ascii="Arial Narrow" w:hAnsi="Arial Narrow"/>
          <w:sz w:val="22"/>
          <w:szCs w:val="22"/>
        </w:rPr>
        <w:t>os para el Ejercicio Fiscal 20</w:t>
      </w:r>
      <w:r w:rsidR="004D4816">
        <w:rPr>
          <w:rFonts w:ascii="Arial Narrow" w:hAnsi="Arial Narrow"/>
          <w:sz w:val="22"/>
          <w:szCs w:val="22"/>
        </w:rPr>
        <w:t>21</w:t>
      </w:r>
      <w:r w:rsidR="00F76141" w:rsidRPr="001F596A">
        <w:rPr>
          <w:rFonts w:ascii="Arial Narrow" w:hAnsi="Arial Narrow"/>
          <w:sz w:val="22"/>
          <w:szCs w:val="22"/>
        </w:rPr>
        <w:t xml:space="preserve">, </w:t>
      </w:r>
      <w:r w:rsidR="00F3254F" w:rsidRPr="001F596A">
        <w:rPr>
          <w:rFonts w:ascii="Arial Narrow" w:hAnsi="Arial Narrow"/>
          <w:sz w:val="22"/>
          <w:szCs w:val="22"/>
        </w:rPr>
        <w:t>presentado</w:t>
      </w:r>
      <w:r w:rsidRPr="001F596A">
        <w:rPr>
          <w:rFonts w:ascii="Arial Narrow" w:hAnsi="Arial Narrow"/>
          <w:sz w:val="22"/>
          <w:szCs w:val="22"/>
        </w:rPr>
        <w:t>s por el Poder Ejecutivo al H. Congreso del Estado se enfatizó que</w:t>
      </w:r>
      <w:r w:rsidR="00F0375E" w:rsidRPr="001F596A">
        <w:rPr>
          <w:rFonts w:ascii="Arial Narrow" w:hAnsi="Arial Narrow"/>
          <w:sz w:val="22"/>
          <w:szCs w:val="22"/>
        </w:rPr>
        <w:t xml:space="preserve"> se consideraron  las proyecciones de los Criterios Generales de Política Económica que dio a conocer el Gobierno Federal, en los que se planteó </w:t>
      </w:r>
      <w:r w:rsidR="007D1BBC">
        <w:rPr>
          <w:rFonts w:ascii="Arial Narrow" w:hAnsi="Arial Narrow"/>
          <w:sz w:val="22"/>
          <w:szCs w:val="22"/>
        </w:rPr>
        <w:t xml:space="preserve">el escenario prevaleciente </w:t>
      </w:r>
      <w:r w:rsidR="007D1BBC" w:rsidRPr="007D1BBC">
        <w:rPr>
          <w:rFonts w:ascii="Arial Narrow" w:hAnsi="Arial Narrow"/>
          <w:sz w:val="22"/>
          <w:szCs w:val="22"/>
        </w:rPr>
        <w:t>a raíz del brote del virus SARS-CoV-2, causante de la enfermedad COVID-19 y su posterior evolución como pandemia que ocurrió en un entorno externo de por sí complejo, con una marcada desaceleración sincronizada de las principales economías del mundo en marcha desde 2019</w:t>
      </w:r>
      <w:r w:rsidR="00BD0405">
        <w:rPr>
          <w:rFonts w:ascii="Arial Narrow" w:hAnsi="Arial Narrow"/>
          <w:sz w:val="22"/>
          <w:szCs w:val="22"/>
        </w:rPr>
        <w:t>.</w:t>
      </w:r>
    </w:p>
    <w:p w:rsidR="00F0375E" w:rsidRDefault="00F0375E" w:rsidP="00B83815">
      <w:pPr>
        <w:pStyle w:val="Sangradetextonormal"/>
        <w:ind w:firstLine="720"/>
        <w:rPr>
          <w:rFonts w:ascii="Arial Narrow" w:hAnsi="Arial Narrow"/>
          <w:sz w:val="22"/>
          <w:szCs w:val="22"/>
        </w:rPr>
      </w:pPr>
    </w:p>
    <w:p w:rsidR="00F0375E" w:rsidRDefault="00F0375E" w:rsidP="007E4E0E">
      <w:pPr>
        <w:pStyle w:val="Sangradetextonormal"/>
        <w:ind w:firstLine="720"/>
        <w:rPr>
          <w:rFonts w:ascii="Arial Narrow" w:hAnsi="Arial Narrow"/>
          <w:sz w:val="22"/>
          <w:szCs w:val="22"/>
        </w:rPr>
      </w:pPr>
      <w:r>
        <w:rPr>
          <w:rFonts w:ascii="Arial Narrow" w:hAnsi="Arial Narrow"/>
          <w:sz w:val="22"/>
          <w:szCs w:val="22"/>
        </w:rPr>
        <w:t xml:space="preserve">En este sentido, se destacó que </w:t>
      </w:r>
      <w:r w:rsidR="007E4E0E" w:rsidRPr="007E4E0E">
        <w:rPr>
          <w:rFonts w:ascii="Arial Narrow" w:hAnsi="Arial Narrow"/>
          <w:sz w:val="22"/>
          <w:szCs w:val="22"/>
        </w:rPr>
        <w:t>los ingresos provenientes de la Federación enfrentan un panorama a la baja por lo que resulta relevante el esfuerzo que se realice dentro del estado para proporcionar certeza a la</w:t>
      </w:r>
      <w:r w:rsidR="00BD0405">
        <w:rPr>
          <w:rFonts w:ascii="Arial Narrow" w:hAnsi="Arial Narrow"/>
          <w:sz w:val="22"/>
          <w:szCs w:val="22"/>
        </w:rPr>
        <w:t>s acciones y obras a realizar, por lo que e</w:t>
      </w:r>
      <w:r w:rsidR="007E4E0E" w:rsidRPr="007E4E0E">
        <w:rPr>
          <w:rFonts w:ascii="Arial Narrow" w:hAnsi="Arial Narrow"/>
          <w:sz w:val="22"/>
          <w:szCs w:val="22"/>
        </w:rPr>
        <w:t>n materia de gasto público, se seguirá con una estrategia de ejercicio prudente y considerando para su asignación exclusivamente los recursos que se estiman tener a disposición, aplicándolos en erogaciones que tengan mayor impacto para los habitantes de la entidad, ya que se continúa con la falta de márgenes para atender los requerimientos de presupuesto necesarios para satisfacer la totalidad de demandas que presenta la sociedad.</w:t>
      </w:r>
    </w:p>
    <w:p w:rsidR="007416C7" w:rsidRDefault="007416C7" w:rsidP="00B83815">
      <w:pPr>
        <w:pStyle w:val="Sangradetextonormal"/>
        <w:ind w:firstLine="720"/>
        <w:rPr>
          <w:rFonts w:ascii="Arial Narrow" w:hAnsi="Arial Narrow"/>
          <w:sz w:val="22"/>
          <w:szCs w:val="22"/>
        </w:rPr>
      </w:pPr>
    </w:p>
    <w:p w:rsidR="007416C7" w:rsidRPr="00E55E3E" w:rsidRDefault="00AB36A8" w:rsidP="00B83815">
      <w:pPr>
        <w:pStyle w:val="Sangradetextonormal"/>
        <w:ind w:firstLine="720"/>
        <w:rPr>
          <w:rFonts w:ascii="Arial Narrow" w:hAnsi="Arial Narrow"/>
          <w:sz w:val="22"/>
          <w:szCs w:val="22"/>
        </w:rPr>
      </w:pPr>
      <w:r>
        <w:rPr>
          <w:rFonts w:ascii="Arial Narrow" w:hAnsi="Arial Narrow"/>
          <w:sz w:val="22"/>
          <w:szCs w:val="22"/>
        </w:rPr>
        <w:t>En torno a ello, se precisó que l</w:t>
      </w:r>
      <w:r w:rsidRPr="00AB36A8">
        <w:rPr>
          <w:rFonts w:ascii="Arial Narrow" w:hAnsi="Arial Narrow"/>
          <w:sz w:val="22"/>
          <w:szCs w:val="22"/>
        </w:rPr>
        <w:t>a situación financiera del estado obliga a emprender un profundo esfuerzo en materia de generación y uso eficiente de recursos, p</w:t>
      </w:r>
      <w:r>
        <w:rPr>
          <w:rFonts w:ascii="Arial Narrow" w:hAnsi="Arial Narrow"/>
          <w:sz w:val="22"/>
          <w:szCs w:val="22"/>
        </w:rPr>
        <w:t>or lo que la política fiscal</w:t>
      </w:r>
      <w:r w:rsidRPr="00AB36A8">
        <w:rPr>
          <w:rFonts w:ascii="Arial Narrow" w:hAnsi="Arial Narrow"/>
          <w:sz w:val="22"/>
          <w:szCs w:val="22"/>
        </w:rPr>
        <w:t xml:space="preserve"> se enfocará a modernizar los procesos y procedimientos para facilitar y alentar el cumplimiento en el pago de las contribuciones; por su parte, se impulsarán acciones en toda la administración enfocadas hacia una estricta disciplina y transparencia en la aplicación de los recursos del presupuesto.</w:t>
      </w:r>
    </w:p>
    <w:p w:rsidR="00B83815" w:rsidRPr="00E55E3E" w:rsidRDefault="00B83815" w:rsidP="00B83815">
      <w:pPr>
        <w:pStyle w:val="Sangradetextonormal"/>
        <w:numPr>
          <w:ilvl w:val="0"/>
          <w:numId w:val="10"/>
        </w:numPr>
        <w:jc w:val="left"/>
        <w:rPr>
          <w:rFonts w:ascii="Arial Narrow" w:hAnsi="Arial Narrow"/>
          <w:b/>
          <w:bCs/>
          <w:szCs w:val="28"/>
        </w:rPr>
      </w:pPr>
      <w:r w:rsidRPr="00E55E3E">
        <w:rPr>
          <w:rFonts w:ascii="Arial Narrow" w:hAnsi="Arial Narrow"/>
          <w:b/>
          <w:bCs/>
          <w:szCs w:val="28"/>
        </w:rPr>
        <w:lastRenderedPageBreak/>
        <w:t>Política Fiscal</w:t>
      </w:r>
    </w:p>
    <w:p w:rsidR="008E01AD" w:rsidRPr="008E01AD" w:rsidRDefault="008E01AD" w:rsidP="00AB36A8">
      <w:pPr>
        <w:pStyle w:val="Sangradetextonormal"/>
        <w:ind w:firstLine="708"/>
        <w:rPr>
          <w:rFonts w:ascii="Arial Narrow" w:hAnsi="Arial Narrow"/>
          <w:sz w:val="4"/>
          <w:szCs w:val="22"/>
        </w:rPr>
      </w:pPr>
    </w:p>
    <w:p w:rsidR="00B83815" w:rsidRDefault="00B83815" w:rsidP="00AB36A8">
      <w:pPr>
        <w:pStyle w:val="Sangradetextonormal"/>
        <w:ind w:firstLine="708"/>
        <w:rPr>
          <w:rFonts w:ascii="Arial Narrow" w:hAnsi="Arial Narrow"/>
          <w:sz w:val="22"/>
          <w:szCs w:val="22"/>
        </w:rPr>
      </w:pPr>
      <w:r w:rsidRPr="00E55E3E">
        <w:rPr>
          <w:rFonts w:ascii="Arial Narrow" w:hAnsi="Arial Narrow"/>
          <w:sz w:val="22"/>
          <w:szCs w:val="22"/>
        </w:rPr>
        <w:t>En el</w:t>
      </w:r>
      <w:r w:rsidR="000052FF">
        <w:rPr>
          <w:rFonts w:ascii="Arial Narrow" w:hAnsi="Arial Narrow"/>
          <w:sz w:val="22"/>
          <w:szCs w:val="22"/>
        </w:rPr>
        <w:t xml:space="preserve"> paquete fiscal para el año 20</w:t>
      </w:r>
      <w:r w:rsidR="00D01CBC">
        <w:rPr>
          <w:rFonts w:ascii="Arial Narrow" w:hAnsi="Arial Narrow"/>
          <w:sz w:val="22"/>
          <w:szCs w:val="22"/>
        </w:rPr>
        <w:t>21</w:t>
      </w:r>
      <w:r w:rsidRPr="00E55E3E">
        <w:rPr>
          <w:rFonts w:ascii="Arial Narrow" w:hAnsi="Arial Narrow"/>
          <w:sz w:val="22"/>
          <w:szCs w:val="22"/>
        </w:rPr>
        <w:t xml:space="preserve"> se enfatizó que</w:t>
      </w:r>
      <w:r w:rsidR="00AB36A8">
        <w:rPr>
          <w:rFonts w:ascii="Arial Narrow" w:hAnsi="Arial Narrow"/>
          <w:sz w:val="22"/>
          <w:szCs w:val="22"/>
        </w:rPr>
        <w:t xml:space="preserve"> </w:t>
      </w:r>
      <w:r w:rsidR="00AB36A8" w:rsidRPr="00AB36A8">
        <w:rPr>
          <w:rFonts w:ascii="Arial Narrow" w:hAnsi="Arial Narrow"/>
          <w:sz w:val="22"/>
          <w:szCs w:val="22"/>
        </w:rPr>
        <w:t>la política fiscal asigna un papel destacado a las directrices de disciplina, coordinación y efectividad en la ejecuci</w:t>
      </w:r>
      <w:r w:rsidR="00AB36A8">
        <w:rPr>
          <w:rFonts w:ascii="Arial Narrow" w:hAnsi="Arial Narrow"/>
          <w:sz w:val="22"/>
          <w:szCs w:val="22"/>
        </w:rPr>
        <w:t>ón de los programas y proyectos, por lo tanto, se recalcó que l</w:t>
      </w:r>
      <w:r w:rsidR="00AB36A8" w:rsidRPr="00AB36A8">
        <w:rPr>
          <w:rFonts w:ascii="Arial Narrow" w:hAnsi="Arial Narrow"/>
          <w:sz w:val="22"/>
          <w:szCs w:val="22"/>
        </w:rPr>
        <w:t>as acciones que se</w:t>
      </w:r>
      <w:r w:rsidR="00AB36A8">
        <w:rPr>
          <w:rFonts w:ascii="Arial Narrow" w:hAnsi="Arial Narrow"/>
          <w:sz w:val="22"/>
          <w:szCs w:val="22"/>
        </w:rPr>
        <w:t xml:space="preserve"> emprenderán en ese</w:t>
      </w:r>
      <w:r w:rsidR="00AB36A8" w:rsidRPr="00AB36A8">
        <w:rPr>
          <w:rFonts w:ascii="Arial Narrow" w:hAnsi="Arial Narrow"/>
          <w:sz w:val="22"/>
          <w:szCs w:val="22"/>
        </w:rPr>
        <w:t xml:space="preserve"> sentido serán de aplicación estricta y caracterizarán la dinámica</w:t>
      </w:r>
      <w:r w:rsidR="00AB36A8">
        <w:rPr>
          <w:rFonts w:ascii="Arial Narrow" w:hAnsi="Arial Narrow"/>
          <w:sz w:val="22"/>
          <w:szCs w:val="22"/>
        </w:rPr>
        <w:t xml:space="preserve"> de trabajo</w:t>
      </w:r>
      <w:r w:rsidRPr="00E55E3E">
        <w:rPr>
          <w:rFonts w:ascii="Arial Narrow" w:hAnsi="Arial Narrow"/>
          <w:sz w:val="22"/>
          <w:szCs w:val="22"/>
        </w:rPr>
        <w:t>, por lo que los principales objetivos, estrategias y metas de la Polít</w:t>
      </w:r>
      <w:r w:rsidR="009D7920">
        <w:rPr>
          <w:rFonts w:ascii="Arial Narrow" w:hAnsi="Arial Narrow"/>
          <w:sz w:val="22"/>
          <w:szCs w:val="22"/>
        </w:rPr>
        <w:t>ica Fiscal fijados por la</w:t>
      </w:r>
      <w:r w:rsidRPr="00E55E3E">
        <w:rPr>
          <w:rFonts w:ascii="Arial Narrow" w:hAnsi="Arial Narrow"/>
          <w:sz w:val="22"/>
          <w:szCs w:val="22"/>
        </w:rPr>
        <w:t xml:space="preserve"> administración</w:t>
      </w:r>
      <w:r>
        <w:rPr>
          <w:rFonts w:ascii="Arial Narrow" w:hAnsi="Arial Narrow"/>
          <w:sz w:val="22"/>
          <w:szCs w:val="22"/>
        </w:rPr>
        <w:t xml:space="preserve"> estatal</w:t>
      </w:r>
      <w:r w:rsidRPr="00E55E3E">
        <w:rPr>
          <w:rFonts w:ascii="Arial Narrow" w:hAnsi="Arial Narrow"/>
          <w:sz w:val="22"/>
          <w:szCs w:val="22"/>
        </w:rPr>
        <w:t xml:space="preserve">, se presentan en el siguiente esquema: </w:t>
      </w:r>
    </w:p>
    <w:p w:rsidR="008E01AD" w:rsidRDefault="008E01AD" w:rsidP="00AB36A8">
      <w:pPr>
        <w:pStyle w:val="Sangradetextonormal"/>
        <w:ind w:firstLine="708"/>
        <w:rPr>
          <w:rFonts w:ascii="Arial Narrow" w:hAnsi="Arial Narrow"/>
          <w:sz w:val="22"/>
          <w:szCs w:val="22"/>
        </w:rPr>
      </w:pPr>
    </w:p>
    <w:p w:rsidR="00B83815" w:rsidRPr="00992D26" w:rsidRDefault="00B83815" w:rsidP="00B83815">
      <w:pPr>
        <w:pStyle w:val="Texto"/>
        <w:spacing w:line="225" w:lineRule="exact"/>
        <w:ind w:firstLine="0"/>
        <w:jc w:val="center"/>
        <w:outlineLvl w:val="0"/>
        <w:rPr>
          <w:rFonts w:ascii="Arial Narrow" w:hAnsi="Arial Narrow"/>
          <w:b/>
          <w:sz w:val="20"/>
          <w:szCs w:val="20"/>
        </w:rPr>
      </w:pPr>
      <w:r w:rsidRPr="00992D26">
        <w:rPr>
          <w:rFonts w:ascii="Arial Narrow" w:hAnsi="Arial Narrow"/>
          <w:b/>
          <w:sz w:val="20"/>
          <w:szCs w:val="20"/>
        </w:rPr>
        <w:t>POLÍTICA FISCAL</w:t>
      </w:r>
    </w:p>
    <w:tbl>
      <w:tblPr>
        <w:tblW w:w="8712" w:type="dxa"/>
        <w:jc w:val="center"/>
        <w:tblInd w:w="144" w:type="dxa"/>
        <w:tblLayout w:type="fixed"/>
        <w:tblCellMar>
          <w:left w:w="72" w:type="dxa"/>
          <w:right w:w="72" w:type="dxa"/>
        </w:tblCellMar>
        <w:tblLook w:val="0000" w:firstRow="0" w:lastRow="0" w:firstColumn="0" w:lastColumn="0" w:noHBand="0" w:noVBand="0"/>
      </w:tblPr>
      <w:tblGrid>
        <w:gridCol w:w="8712"/>
      </w:tblGrid>
      <w:tr w:rsidR="00B83815" w:rsidRPr="00992D26" w:rsidTr="00934835">
        <w:trPr>
          <w:cantSplit/>
          <w:trHeight w:val="195"/>
          <w:jc w:val="center"/>
        </w:trPr>
        <w:tc>
          <w:tcPr>
            <w:tcW w:w="9639" w:type="dxa"/>
            <w:tcBorders>
              <w:top w:val="single" w:sz="18" w:space="0" w:color="000000"/>
              <w:bottom w:val="single" w:sz="6" w:space="0" w:color="000000"/>
            </w:tcBorders>
            <w:noWrap/>
          </w:tcPr>
          <w:p w:rsidR="00B83815" w:rsidRPr="00992D26" w:rsidRDefault="00B83815" w:rsidP="00934835">
            <w:pPr>
              <w:pStyle w:val="Texto"/>
              <w:spacing w:line="225" w:lineRule="exact"/>
              <w:ind w:firstLine="0"/>
              <w:rPr>
                <w:rFonts w:ascii="Arial Narrow" w:hAnsi="Arial Narrow"/>
              </w:rPr>
            </w:pPr>
            <w:r w:rsidRPr="00992D26">
              <w:rPr>
                <w:rFonts w:ascii="Arial Narrow" w:hAnsi="Arial Narrow"/>
                <w:b/>
              </w:rPr>
              <w:t>OBJETIVOS</w:t>
            </w:r>
          </w:p>
          <w:p w:rsidR="00B83815" w:rsidRDefault="004C7453" w:rsidP="00934835">
            <w:pPr>
              <w:pStyle w:val="Texto"/>
              <w:spacing w:line="225" w:lineRule="exact"/>
              <w:ind w:left="703" w:hanging="360"/>
              <w:rPr>
                <w:rFonts w:ascii="Arial Narrow" w:hAnsi="Arial Narrow"/>
              </w:rPr>
            </w:pPr>
            <w:r>
              <w:rPr>
                <w:rFonts w:ascii="Arial Narrow" w:hAnsi="Arial Narrow"/>
              </w:rPr>
              <w:t>●</w:t>
            </w:r>
            <w:r>
              <w:rPr>
                <w:rFonts w:ascii="Arial Narrow" w:hAnsi="Arial Narrow"/>
              </w:rPr>
              <w:tab/>
              <w:t>Orientar la acción del E</w:t>
            </w:r>
            <w:r w:rsidRPr="004C7453">
              <w:rPr>
                <w:rFonts w:ascii="Arial Narrow" w:hAnsi="Arial Narrow"/>
              </w:rPr>
              <w:t>stado hacia las prioridades y exigencias de la población</w:t>
            </w:r>
            <w:r>
              <w:rPr>
                <w:rFonts w:ascii="Arial Narrow" w:hAnsi="Arial Narrow"/>
              </w:rPr>
              <w:t>.</w:t>
            </w:r>
          </w:p>
          <w:p w:rsidR="009930B4" w:rsidRPr="00992D26" w:rsidRDefault="009930B4"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r>
            <w:r>
              <w:rPr>
                <w:rFonts w:ascii="Arial Narrow" w:hAnsi="Arial Narrow"/>
              </w:rPr>
              <w:t xml:space="preserve">Promover </w:t>
            </w:r>
            <w:r w:rsidRPr="009930B4">
              <w:rPr>
                <w:rFonts w:ascii="Arial Narrow" w:hAnsi="Arial Narrow"/>
              </w:rPr>
              <w:t>el buen desempeño de los sectores productivos, con particular atención a las actividades del campo y a las actividades turísticas</w:t>
            </w:r>
          </w:p>
          <w:p w:rsidR="00B83815" w:rsidRPr="00992D26" w:rsidRDefault="00B83815" w:rsidP="004C7453">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r>
            <w:r w:rsidR="004C7453">
              <w:rPr>
                <w:rFonts w:ascii="Arial Narrow" w:hAnsi="Arial Narrow"/>
              </w:rPr>
              <w:t>A</w:t>
            </w:r>
            <w:r w:rsidR="004C7453" w:rsidRPr="004C7453">
              <w:rPr>
                <w:rFonts w:ascii="Arial Narrow" w:hAnsi="Arial Narrow"/>
              </w:rPr>
              <w:t>lentar el crecimiento del empleo y del desarrollo de la entidad</w:t>
            </w:r>
            <w:r w:rsidR="004C7453">
              <w:rPr>
                <w:rFonts w:ascii="Arial Narrow" w:hAnsi="Arial Narrow"/>
              </w:rPr>
              <w:t>.</w:t>
            </w:r>
          </w:p>
        </w:tc>
      </w:tr>
      <w:tr w:rsidR="00B83815" w:rsidRPr="00992D26" w:rsidTr="00934835">
        <w:trPr>
          <w:cantSplit/>
          <w:trHeight w:val="195"/>
          <w:jc w:val="center"/>
        </w:trPr>
        <w:tc>
          <w:tcPr>
            <w:tcW w:w="9639" w:type="dxa"/>
            <w:tcBorders>
              <w:top w:val="single" w:sz="6" w:space="0" w:color="000000"/>
              <w:bottom w:val="single" w:sz="6" w:space="0" w:color="000000"/>
            </w:tcBorders>
          </w:tcPr>
          <w:p w:rsidR="00B83815" w:rsidRPr="00992D26" w:rsidRDefault="00B83815" w:rsidP="00934835">
            <w:pPr>
              <w:pStyle w:val="Texto"/>
              <w:spacing w:line="225" w:lineRule="exact"/>
              <w:ind w:firstLine="0"/>
              <w:rPr>
                <w:rFonts w:ascii="Arial Narrow" w:hAnsi="Arial Narrow"/>
                <w:b/>
              </w:rPr>
            </w:pPr>
            <w:r w:rsidRPr="00992D26">
              <w:rPr>
                <w:rFonts w:ascii="Arial Narrow" w:hAnsi="Arial Narrow"/>
                <w:b/>
              </w:rPr>
              <w:t>ESTRATEGIAS</w:t>
            </w:r>
          </w:p>
          <w:p w:rsidR="00B83815" w:rsidRPr="00992D26" w:rsidRDefault="004C7453" w:rsidP="00934835">
            <w:pPr>
              <w:pStyle w:val="Texto"/>
              <w:spacing w:line="225" w:lineRule="exact"/>
              <w:ind w:left="703" w:hanging="360"/>
              <w:rPr>
                <w:rFonts w:ascii="Arial Narrow" w:hAnsi="Arial Narrow"/>
              </w:rPr>
            </w:pPr>
            <w:r>
              <w:rPr>
                <w:rFonts w:ascii="Arial Narrow" w:hAnsi="Arial Narrow"/>
              </w:rPr>
              <w:t>●</w:t>
            </w:r>
            <w:r>
              <w:rPr>
                <w:rFonts w:ascii="Arial Narrow" w:hAnsi="Arial Narrow"/>
              </w:rPr>
              <w:tab/>
              <w:t>Impulsar procesos de m</w:t>
            </w:r>
            <w:r w:rsidRPr="004C7453">
              <w:rPr>
                <w:rFonts w:ascii="Arial Narrow" w:hAnsi="Arial Narrow"/>
              </w:rPr>
              <w:t>ejora continua de la gestión gubernamental</w:t>
            </w:r>
          </w:p>
          <w:p w:rsidR="00B83815" w:rsidRPr="00992D26" w:rsidRDefault="004C7453" w:rsidP="00934835">
            <w:pPr>
              <w:pStyle w:val="Texto"/>
              <w:spacing w:line="225" w:lineRule="exact"/>
              <w:ind w:left="703" w:hanging="360"/>
              <w:rPr>
                <w:rFonts w:ascii="Arial Narrow" w:hAnsi="Arial Narrow"/>
              </w:rPr>
            </w:pPr>
            <w:r>
              <w:rPr>
                <w:rFonts w:ascii="Arial Narrow" w:hAnsi="Arial Narrow"/>
              </w:rPr>
              <w:t>●</w:t>
            </w:r>
            <w:r>
              <w:rPr>
                <w:rFonts w:ascii="Arial Narrow" w:hAnsi="Arial Narrow"/>
              </w:rPr>
              <w:tab/>
              <w:t>R</w:t>
            </w:r>
            <w:r w:rsidRPr="004C7453">
              <w:rPr>
                <w:rFonts w:ascii="Arial Narrow" w:hAnsi="Arial Narrow"/>
              </w:rPr>
              <w:t>eordenar el funcionamiento</w:t>
            </w:r>
            <w:r>
              <w:rPr>
                <w:rFonts w:ascii="Arial Narrow" w:hAnsi="Arial Narrow"/>
              </w:rPr>
              <w:t xml:space="preserve"> de las unidades administrativas para que el servicio público genere un impacto favorable a la población.</w:t>
            </w:r>
          </w:p>
          <w:p w:rsidR="00B83815" w:rsidRPr="00992D26" w:rsidRDefault="004C7453" w:rsidP="00934835">
            <w:pPr>
              <w:pStyle w:val="Texto"/>
              <w:spacing w:line="225" w:lineRule="exact"/>
              <w:ind w:left="703" w:hanging="360"/>
              <w:rPr>
                <w:rFonts w:ascii="Arial Narrow" w:hAnsi="Arial Narrow"/>
              </w:rPr>
            </w:pPr>
            <w:r>
              <w:rPr>
                <w:rFonts w:ascii="Arial Narrow" w:hAnsi="Arial Narrow"/>
              </w:rPr>
              <w:t>●</w:t>
            </w:r>
            <w:r>
              <w:rPr>
                <w:rFonts w:ascii="Arial Narrow" w:hAnsi="Arial Narrow"/>
              </w:rPr>
              <w:tab/>
            </w:r>
            <w:r w:rsidR="009930B4">
              <w:rPr>
                <w:rFonts w:ascii="Arial Narrow" w:hAnsi="Arial Narrow"/>
              </w:rPr>
              <w:t>Establecer m</w:t>
            </w:r>
            <w:r>
              <w:rPr>
                <w:rFonts w:ascii="Arial Narrow" w:hAnsi="Arial Narrow"/>
              </w:rPr>
              <w:t>edidas</w:t>
            </w:r>
            <w:r w:rsidR="009930B4">
              <w:rPr>
                <w:rFonts w:ascii="Arial Narrow" w:hAnsi="Arial Narrow"/>
              </w:rPr>
              <w:t xml:space="preserve"> inmediatas</w:t>
            </w:r>
            <w:r>
              <w:rPr>
                <w:rFonts w:ascii="Arial Narrow" w:hAnsi="Arial Narrow"/>
              </w:rPr>
              <w:t xml:space="preserve"> para mejorar la coordinación institucional entre Dependencias y Entidades Paraestatales.</w:t>
            </w:r>
          </w:p>
          <w:p w:rsidR="00B83815" w:rsidRPr="00992D26" w:rsidRDefault="009930B4" w:rsidP="00934835">
            <w:pPr>
              <w:pStyle w:val="Texto"/>
              <w:spacing w:line="225" w:lineRule="exact"/>
              <w:ind w:left="703" w:hanging="360"/>
              <w:rPr>
                <w:rFonts w:ascii="Arial Narrow" w:hAnsi="Arial Narrow"/>
              </w:rPr>
            </w:pPr>
            <w:r>
              <w:rPr>
                <w:rFonts w:ascii="Arial Narrow" w:hAnsi="Arial Narrow"/>
              </w:rPr>
              <w:t>●</w:t>
            </w:r>
            <w:r>
              <w:rPr>
                <w:rFonts w:ascii="Arial Narrow" w:hAnsi="Arial Narrow"/>
              </w:rPr>
              <w:tab/>
              <w:t xml:space="preserve">Diseñar nuevos Lineamientos </w:t>
            </w:r>
            <w:r w:rsidRPr="009930B4">
              <w:rPr>
                <w:rFonts w:ascii="Arial Narrow" w:hAnsi="Arial Narrow"/>
              </w:rPr>
              <w:t>para ejercer el presupuesto con austeridad y total transparencia</w:t>
            </w:r>
          </w:p>
          <w:p w:rsidR="008E01AD" w:rsidRPr="00992D26" w:rsidRDefault="009930B4" w:rsidP="008E01AD">
            <w:pPr>
              <w:pStyle w:val="Texto"/>
              <w:spacing w:line="225" w:lineRule="exact"/>
              <w:ind w:left="703" w:hanging="360"/>
              <w:rPr>
                <w:rFonts w:ascii="Arial Narrow" w:hAnsi="Arial Narrow"/>
              </w:rPr>
            </w:pPr>
            <w:r>
              <w:rPr>
                <w:rFonts w:ascii="Arial Narrow" w:hAnsi="Arial Narrow"/>
              </w:rPr>
              <w:t>●</w:t>
            </w:r>
            <w:r>
              <w:rPr>
                <w:rFonts w:ascii="Arial Narrow" w:hAnsi="Arial Narrow"/>
              </w:rPr>
              <w:tab/>
            </w:r>
            <w:r w:rsidRPr="009930B4">
              <w:rPr>
                <w:rFonts w:ascii="Arial Narrow" w:hAnsi="Arial Narrow"/>
              </w:rPr>
              <w:t>Eficientar la recaudac</w:t>
            </w:r>
            <w:r>
              <w:rPr>
                <w:rFonts w:ascii="Arial Narrow" w:hAnsi="Arial Narrow"/>
              </w:rPr>
              <w:t xml:space="preserve">ión para </w:t>
            </w:r>
            <w:r w:rsidRPr="009930B4">
              <w:rPr>
                <w:rFonts w:ascii="Arial Narrow" w:hAnsi="Arial Narrow"/>
              </w:rPr>
              <w:t>disminuir la vulnerabilidad que históricamente se ha tenido frente al comportamiento de los recursos provenientes de la Federación</w:t>
            </w:r>
            <w:r w:rsidR="008E01AD">
              <w:rPr>
                <w:rFonts w:ascii="Arial Narrow" w:hAnsi="Arial Narrow"/>
              </w:rPr>
              <w:t>.</w:t>
            </w:r>
          </w:p>
        </w:tc>
      </w:tr>
      <w:tr w:rsidR="00B83815" w:rsidRPr="00992D26" w:rsidTr="00934835">
        <w:trPr>
          <w:cantSplit/>
          <w:trHeight w:val="195"/>
          <w:jc w:val="center"/>
        </w:trPr>
        <w:tc>
          <w:tcPr>
            <w:tcW w:w="9639" w:type="dxa"/>
            <w:tcBorders>
              <w:top w:val="single" w:sz="6" w:space="0" w:color="000000"/>
              <w:bottom w:val="single" w:sz="18" w:space="0" w:color="000000"/>
            </w:tcBorders>
          </w:tcPr>
          <w:p w:rsidR="00B83815" w:rsidRPr="00992D26" w:rsidRDefault="00B83815" w:rsidP="00934835">
            <w:pPr>
              <w:pStyle w:val="Texto"/>
              <w:spacing w:line="225" w:lineRule="exact"/>
              <w:ind w:firstLine="0"/>
              <w:rPr>
                <w:rFonts w:ascii="Arial Narrow" w:hAnsi="Arial Narrow"/>
                <w:b/>
              </w:rPr>
            </w:pPr>
            <w:r w:rsidRPr="00992D26">
              <w:rPr>
                <w:rFonts w:ascii="Arial Narrow" w:hAnsi="Arial Narrow"/>
                <w:b/>
              </w:rPr>
              <w:t>METAS</w:t>
            </w:r>
          </w:p>
          <w:p w:rsidR="00B83815" w:rsidRPr="00992D26" w:rsidRDefault="009930B4" w:rsidP="00934835">
            <w:pPr>
              <w:pStyle w:val="Texto"/>
              <w:tabs>
                <w:tab w:val="left" w:pos="4363"/>
              </w:tabs>
              <w:spacing w:line="225" w:lineRule="exact"/>
              <w:ind w:left="703" w:hanging="360"/>
              <w:rPr>
                <w:rFonts w:ascii="Arial Narrow" w:hAnsi="Arial Narrow"/>
              </w:rPr>
            </w:pPr>
            <w:r>
              <w:rPr>
                <w:rFonts w:ascii="Arial Narrow" w:hAnsi="Arial Narrow"/>
              </w:rPr>
              <w:t>●</w:t>
            </w:r>
            <w:r>
              <w:rPr>
                <w:rFonts w:ascii="Arial Narrow" w:hAnsi="Arial Narrow"/>
              </w:rPr>
              <w:tab/>
              <w:t>M</w:t>
            </w:r>
            <w:r w:rsidRPr="009930B4">
              <w:rPr>
                <w:rFonts w:ascii="Arial Narrow" w:hAnsi="Arial Narrow"/>
              </w:rPr>
              <w:t>arco apropiado de disciplina y orden</w:t>
            </w:r>
            <w:r>
              <w:rPr>
                <w:rFonts w:ascii="Arial Narrow" w:hAnsi="Arial Narrow"/>
              </w:rPr>
              <w:t xml:space="preserve"> presupuestario.</w:t>
            </w:r>
          </w:p>
          <w:p w:rsidR="00B83815" w:rsidRPr="00992D26" w:rsidRDefault="009930B4" w:rsidP="009930B4">
            <w:pPr>
              <w:pStyle w:val="Texto"/>
              <w:tabs>
                <w:tab w:val="left" w:pos="4363"/>
              </w:tabs>
              <w:spacing w:line="225" w:lineRule="exact"/>
              <w:ind w:left="703" w:hanging="360"/>
              <w:rPr>
                <w:rFonts w:ascii="Arial Narrow" w:hAnsi="Arial Narrow"/>
              </w:rPr>
            </w:pPr>
            <w:r>
              <w:rPr>
                <w:rFonts w:ascii="Arial Narrow" w:hAnsi="Arial Narrow"/>
              </w:rPr>
              <w:t>●</w:t>
            </w:r>
            <w:r>
              <w:rPr>
                <w:rFonts w:ascii="Arial Narrow" w:hAnsi="Arial Narrow"/>
              </w:rPr>
              <w:tab/>
              <w:t>D</w:t>
            </w:r>
            <w:r w:rsidRPr="009930B4">
              <w:rPr>
                <w:rFonts w:ascii="Arial Narrow" w:hAnsi="Arial Narrow"/>
              </w:rPr>
              <w:t>esarrollo regional con mayor equilibrio y equidad a través de la</w:t>
            </w:r>
            <w:r>
              <w:rPr>
                <w:rFonts w:ascii="Arial Narrow" w:hAnsi="Arial Narrow"/>
              </w:rPr>
              <w:t xml:space="preserve"> </w:t>
            </w:r>
            <w:r w:rsidRPr="009930B4">
              <w:rPr>
                <w:rFonts w:ascii="Arial Narrow" w:hAnsi="Arial Narrow"/>
              </w:rPr>
              <w:t>potenciación de ingresos</w:t>
            </w:r>
            <w:r w:rsidR="003F0B46">
              <w:rPr>
                <w:rFonts w:ascii="Arial Narrow" w:hAnsi="Arial Narrow"/>
              </w:rPr>
              <w:t xml:space="preserve"> y mejora del gasto público.</w:t>
            </w:r>
          </w:p>
          <w:p w:rsidR="00B83815" w:rsidRPr="00992D26" w:rsidRDefault="00B83815" w:rsidP="009930B4">
            <w:pPr>
              <w:pStyle w:val="Texto"/>
              <w:tabs>
                <w:tab w:val="left" w:pos="4371"/>
              </w:tabs>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r>
            <w:r w:rsidR="003F0B46">
              <w:rPr>
                <w:rFonts w:ascii="Arial Narrow" w:hAnsi="Arial Narrow"/>
              </w:rPr>
              <w:t>Mantener estables los parámetros del Sistema de Alertas, a través de finanzas públicas sostenibles.</w:t>
            </w:r>
          </w:p>
        </w:tc>
      </w:tr>
      <w:tr w:rsidR="00B83815" w:rsidRPr="00992D26" w:rsidTr="00934835">
        <w:trPr>
          <w:cantSplit/>
          <w:trHeight w:val="195"/>
          <w:jc w:val="center"/>
        </w:trPr>
        <w:tc>
          <w:tcPr>
            <w:tcW w:w="9639" w:type="dxa"/>
            <w:tcBorders>
              <w:top w:val="single" w:sz="18" w:space="0" w:color="000000"/>
            </w:tcBorders>
          </w:tcPr>
          <w:p w:rsidR="00B83815" w:rsidRPr="00992D26" w:rsidRDefault="00B83815" w:rsidP="00934835">
            <w:pPr>
              <w:pStyle w:val="Sangradetextonormal"/>
              <w:ind w:left="540" w:firstLine="0"/>
              <w:jc w:val="left"/>
              <w:rPr>
                <w:rFonts w:ascii="Arial Narrow" w:hAnsi="Arial Narrow" w:cs="Arial"/>
                <w:b/>
                <w:bCs/>
                <w:sz w:val="16"/>
                <w:szCs w:val="16"/>
              </w:rPr>
            </w:pPr>
          </w:p>
          <w:p w:rsidR="00B83815" w:rsidRPr="00992D26" w:rsidRDefault="00B83815" w:rsidP="00934835">
            <w:pPr>
              <w:pStyle w:val="Sangradetextonormal"/>
              <w:ind w:left="540" w:firstLine="0"/>
              <w:jc w:val="left"/>
              <w:rPr>
                <w:rFonts w:ascii="Arial Narrow" w:hAnsi="Arial Narrow" w:cs="Arial"/>
                <w:bCs/>
                <w:sz w:val="16"/>
                <w:szCs w:val="16"/>
              </w:rPr>
            </w:pPr>
            <w:r w:rsidRPr="00992D26">
              <w:rPr>
                <w:rFonts w:ascii="Arial Narrow" w:hAnsi="Arial Narrow" w:cs="Arial"/>
                <w:b/>
                <w:bCs/>
                <w:sz w:val="16"/>
                <w:szCs w:val="16"/>
              </w:rPr>
              <w:t xml:space="preserve">Fuente: </w:t>
            </w:r>
            <w:r w:rsidRPr="00992D26">
              <w:rPr>
                <w:rFonts w:ascii="Arial Narrow" w:hAnsi="Arial Narrow" w:cs="Arial"/>
                <w:b/>
                <w:bCs/>
                <w:sz w:val="16"/>
                <w:szCs w:val="16"/>
              </w:rPr>
              <w:tab/>
            </w:r>
            <w:r w:rsidRPr="00992D26">
              <w:rPr>
                <w:rFonts w:ascii="Arial Narrow" w:hAnsi="Arial Narrow" w:cs="Arial"/>
                <w:bCs/>
                <w:sz w:val="16"/>
                <w:szCs w:val="16"/>
              </w:rPr>
              <w:t>Plan Estat</w:t>
            </w:r>
            <w:r w:rsidR="00AB36A8">
              <w:rPr>
                <w:rFonts w:ascii="Arial Narrow" w:hAnsi="Arial Narrow" w:cs="Arial"/>
                <w:bCs/>
                <w:sz w:val="16"/>
                <w:szCs w:val="16"/>
              </w:rPr>
              <w:t>al de Desarrollo de Nayarit 2017 - 2021</w:t>
            </w:r>
          </w:p>
          <w:p w:rsidR="00B83815" w:rsidRPr="00992D26" w:rsidRDefault="00B83815" w:rsidP="00934835">
            <w:pPr>
              <w:pStyle w:val="Sangradetextonormal"/>
              <w:ind w:left="540" w:firstLine="0"/>
              <w:jc w:val="left"/>
              <w:rPr>
                <w:rFonts w:ascii="Arial Narrow" w:hAnsi="Arial Narrow" w:cs="Arial"/>
                <w:bCs/>
                <w:sz w:val="16"/>
                <w:szCs w:val="16"/>
              </w:rPr>
            </w:pPr>
            <w:r w:rsidRPr="00992D26">
              <w:rPr>
                <w:rFonts w:ascii="Arial Narrow" w:hAnsi="Arial Narrow"/>
                <w:b/>
                <w:bCs/>
                <w:sz w:val="32"/>
                <w:szCs w:val="32"/>
              </w:rPr>
              <w:tab/>
            </w:r>
            <w:r w:rsidRPr="00992D26">
              <w:rPr>
                <w:rFonts w:ascii="Arial Narrow" w:hAnsi="Arial Narrow"/>
                <w:b/>
                <w:bCs/>
                <w:sz w:val="32"/>
                <w:szCs w:val="32"/>
              </w:rPr>
              <w:tab/>
            </w:r>
            <w:r w:rsidR="00F838A0">
              <w:rPr>
                <w:rFonts w:ascii="Arial Narrow" w:hAnsi="Arial Narrow" w:cs="Arial"/>
                <w:bCs/>
                <w:sz w:val="16"/>
                <w:szCs w:val="16"/>
              </w:rPr>
              <w:t>Paquete Fiscal 2021</w:t>
            </w:r>
          </w:p>
          <w:p w:rsidR="00B83815" w:rsidRDefault="00B83815" w:rsidP="00934835">
            <w:pPr>
              <w:pStyle w:val="Texto"/>
              <w:spacing w:line="225" w:lineRule="exact"/>
              <w:ind w:firstLine="0"/>
              <w:rPr>
                <w:rFonts w:ascii="Arial Narrow" w:hAnsi="Arial Narrow"/>
              </w:rPr>
            </w:pPr>
          </w:p>
          <w:p w:rsidR="00D441B4" w:rsidRDefault="00D441B4" w:rsidP="00934835">
            <w:pPr>
              <w:pStyle w:val="Texto"/>
              <w:spacing w:line="225" w:lineRule="exact"/>
              <w:ind w:firstLine="0"/>
              <w:rPr>
                <w:rFonts w:ascii="Arial Narrow" w:hAnsi="Arial Narrow"/>
              </w:rPr>
            </w:pPr>
          </w:p>
          <w:p w:rsidR="00D441B4" w:rsidRPr="00992D26" w:rsidRDefault="00D441B4" w:rsidP="00934835">
            <w:pPr>
              <w:pStyle w:val="Texto"/>
              <w:spacing w:line="225" w:lineRule="exact"/>
              <w:ind w:firstLine="0"/>
              <w:rPr>
                <w:rFonts w:ascii="Arial Narrow" w:hAnsi="Arial Narrow"/>
              </w:rPr>
            </w:pPr>
          </w:p>
          <w:p w:rsidR="003F0B46" w:rsidRPr="00992D26" w:rsidRDefault="003F0B46" w:rsidP="00934835">
            <w:pPr>
              <w:pStyle w:val="Texto"/>
              <w:spacing w:line="225" w:lineRule="exact"/>
              <w:ind w:firstLine="0"/>
              <w:rPr>
                <w:rFonts w:ascii="Arial Narrow" w:hAnsi="Arial Narrow"/>
              </w:rPr>
            </w:pPr>
          </w:p>
        </w:tc>
      </w:tr>
    </w:tbl>
    <w:p w:rsidR="00B83815" w:rsidRPr="00E55E3E" w:rsidRDefault="00B83815" w:rsidP="00B83815">
      <w:pPr>
        <w:pStyle w:val="Sangradetextonormal"/>
        <w:numPr>
          <w:ilvl w:val="0"/>
          <w:numId w:val="10"/>
        </w:numPr>
        <w:jc w:val="left"/>
        <w:rPr>
          <w:rFonts w:ascii="Arial Narrow" w:hAnsi="Arial Narrow"/>
          <w:b/>
          <w:bCs/>
          <w:szCs w:val="28"/>
        </w:rPr>
      </w:pPr>
      <w:r w:rsidRPr="00E55E3E">
        <w:rPr>
          <w:rFonts w:ascii="Arial Narrow" w:hAnsi="Arial Narrow"/>
          <w:b/>
          <w:bCs/>
          <w:szCs w:val="28"/>
        </w:rPr>
        <w:lastRenderedPageBreak/>
        <w:t>Líneas de Acción</w:t>
      </w:r>
    </w:p>
    <w:p w:rsidR="00B83815" w:rsidRPr="00992D26" w:rsidRDefault="00B83815" w:rsidP="00B83815">
      <w:pPr>
        <w:pStyle w:val="Sangradetextonormal"/>
        <w:spacing w:line="240" w:lineRule="auto"/>
        <w:ind w:left="709" w:firstLine="0"/>
        <w:jc w:val="left"/>
        <w:rPr>
          <w:rFonts w:ascii="Arial Narrow" w:hAnsi="Arial Narrow"/>
          <w:b/>
          <w:bCs/>
          <w:sz w:val="32"/>
          <w:szCs w:val="32"/>
        </w:rPr>
      </w:pPr>
    </w:p>
    <w:p w:rsidR="00B83815" w:rsidRDefault="00B83815" w:rsidP="00B83815">
      <w:pPr>
        <w:pStyle w:val="Sangradetextonormal"/>
        <w:ind w:firstLine="708"/>
        <w:rPr>
          <w:rFonts w:ascii="Arial Narrow" w:hAnsi="Arial Narrow"/>
          <w:sz w:val="22"/>
          <w:szCs w:val="22"/>
        </w:rPr>
      </w:pPr>
      <w:r w:rsidRPr="00E55E3E">
        <w:rPr>
          <w:rFonts w:ascii="Arial Narrow" w:hAnsi="Arial Narrow"/>
          <w:sz w:val="22"/>
          <w:szCs w:val="22"/>
        </w:rPr>
        <w:t>Considerando que la finalidad que persigue el Gobierno siempre debe ser el incremento de la cantidad y calidad de los bienes y servicios públicos, la reducción del gasto administrativo y operacional, buscando en todo momento el bienestar de la sociedad, a continuación se enuncian las líneas de acción del Poder Ejecutivo en materia de finanzas públicas:</w:t>
      </w:r>
    </w:p>
    <w:p w:rsidR="00B83815" w:rsidRPr="00E55E3E" w:rsidRDefault="00B83815" w:rsidP="00B83815">
      <w:pPr>
        <w:pStyle w:val="Sangradetextonormal"/>
        <w:ind w:firstLine="708"/>
        <w:rPr>
          <w:rFonts w:ascii="Arial Narrow" w:hAnsi="Arial Narrow"/>
          <w:sz w:val="22"/>
          <w:szCs w:val="22"/>
        </w:rPr>
      </w:pPr>
    </w:p>
    <w:p w:rsidR="00B83815" w:rsidRPr="00992D26" w:rsidRDefault="00B83815" w:rsidP="00B83815">
      <w:pPr>
        <w:pStyle w:val="Texto"/>
        <w:spacing w:line="225" w:lineRule="exact"/>
        <w:ind w:firstLine="0"/>
        <w:jc w:val="center"/>
        <w:outlineLvl w:val="0"/>
        <w:rPr>
          <w:rFonts w:ascii="Arial Narrow" w:hAnsi="Arial Narrow"/>
          <w:b/>
        </w:rPr>
      </w:pPr>
      <w:r w:rsidRPr="00992D26">
        <w:rPr>
          <w:rFonts w:ascii="Arial Narrow" w:hAnsi="Arial Narrow"/>
          <w:b/>
          <w:sz w:val="20"/>
          <w:szCs w:val="20"/>
        </w:rPr>
        <w:t>LÍNEAS DE ACCIÓN</w:t>
      </w:r>
    </w:p>
    <w:tbl>
      <w:tblPr>
        <w:tblW w:w="8712" w:type="dxa"/>
        <w:jc w:val="center"/>
        <w:tblInd w:w="144" w:type="dxa"/>
        <w:tblLayout w:type="fixed"/>
        <w:tblCellMar>
          <w:left w:w="72" w:type="dxa"/>
          <w:right w:w="72" w:type="dxa"/>
        </w:tblCellMar>
        <w:tblLook w:val="0000" w:firstRow="0" w:lastRow="0" w:firstColumn="0" w:lastColumn="0" w:noHBand="0" w:noVBand="0"/>
      </w:tblPr>
      <w:tblGrid>
        <w:gridCol w:w="8712"/>
      </w:tblGrid>
      <w:tr w:rsidR="00B83815" w:rsidRPr="00992D26" w:rsidTr="00934835">
        <w:trPr>
          <w:cantSplit/>
          <w:trHeight w:val="195"/>
          <w:jc w:val="center"/>
        </w:trPr>
        <w:tc>
          <w:tcPr>
            <w:tcW w:w="8712" w:type="dxa"/>
            <w:tcBorders>
              <w:top w:val="single" w:sz="18" w:space="0" w:color="000000"/>
              <w:bottom w:val="single" w:sz="6" w:space="0" w:color="000000"/>
            </w:tcBorders>
            <w:noWrap/>
          </w:tcPr>
          <w:p w:rsidR="00B83815" w:rsidRPr="00992D26" w:rsidRDefault="00B83815" w:rsidP="00934835">
            <w:pPr>
              <w:pStyle w:val="Texto"/>
              <w:spacing w:line="225" w:lineRule="exact"/>
              <w:ind w:firstLine="0"/>
              <w:rPr>
                <w:rFonts w:ascii="Arial Narrow" w:hAnsi="Arial Narrow"/>
              </w:rPr>
            </w:pPr>
            <w:r w:rsidRPr="00992D26">
              <w:rPr>
                <w:rFonts w:ascii="Arial Narrow" w:hAnsi="Arial Narrow"/>
                <w:b/>
              </w:rPr>
              <w:t>INGRESOS</w:t>
            </w:r>
          </w:p>
          <w:p w:rsidR="00B83815"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r>
            <w:r w:rsidR="003F0B46">
              <w:rPr>
                <w:rFonts w:ascii="Arial Narrow" w:hAnsi="Arial Narrow"/>
              </w:rPr>
              <w:t>Revisión y actualización de la normatividad que rige los ingresos públicos.</w:t>
            </w:r>
          </w:p>
          <w:p w:rsidR="00C840F7" w:rsidRPr="00992D26" w:rsidRDefault="003F0B46" w:rsidP="00C840F7">
            <w:pPr>
              <w:pStyle w:val="Texto"/>
              <w:spacing w:line="225" w:lineRule="exact"/>
              <w:ind w:left="703" w:hanging="360"/>
              <w:rPr>
                <w:rFonts w:ascii="Arial Narrow" w:hAnsi="Arial Narrow"/>
              </w:rPr>
            </w:pPr>
            <w:r>
              <w:rPr>
                <w:rFonts w:ascii="Arial Narrow" w:hAnsi="Arial Narrow"/>
              </w:rPr>
              <w:t>●</w:t>
            </w:r>
            <w:r>
              <w:rPr>
                <w:rFonts w:ascii="Arial Narrow" w:hAnsi="Arial Narrow"/>
              </w:rPr>
              <w:tab/>
              <w:t>Actualización de los padrones de contribuyentes.</w:t>
            </w:r>
          </w:p>
          <w:p w:rsidR="00B83815" w:rsidRPr="00992D26" w:rsidRDefault="003F0B46" w:rsidP="00934835">
            <w:pPr>
              <w:pStyle w:val="Texto"/>
              <w:spacing w:line="225" w:lineRule="exact"/>
              <w:ind w:left="703" w:hanging="360"/>
              <w:rPr>
                <w:rFonts w:ascii="Arial Narrow" w:hAnsi="Arial Narrow"/>
              </w:rPr>
            </w:pPr>
            <w:r>
              <w:rPr>
                <w:rFonts w:ascii="Arial Narrow" w:hAnsi="Arial Narrow"/>
              </w:rPr>
              <w:t>●</w:t>
            </w:r>
            <w:r>
              <w:rPr>
                <w:rFonts w:ascii="Arial Narrow" w:hAnsi="Arial Narrow"/>
              </w:rPr>
              <w:tab/>
              <w:t>Acciones de seguimiento y fiscalización de grandes contribuyentes.</w:t>
            </w:r>
          </w:p>
          <w:p w:rsidR="00B83815" w:rsidRPr="00992D26" w:rsidRDefault="003F0B46" w:rsidP="00934835">
            <w:pPr>
              <w:pStyle w:val="Texto"/>
              <w:spacing w:line="225" w:lineRule="exact"/>
              <w:ind w:left="703" w:hanging="360"/>
              <w:rPr>
                <w:rFonts w:ascii="Arial Narrow" w:hAnsi="Arial Narrow"/>
              </w:rPr>
            </w:pPr>
            <w:r>
              <w:rPr>
                <w:rFonts w:ascii="Arial Narrow" w:hAnsi="Arial Narrow"/>
              </w:rPr>
              <w:t>●</w:t>
            </w:r>
            <w:r>
              <w:rPr>
                <w:rFonts w:ascii="Arial Narrow" w:hAnsi="Arial Narrow"/>
              </w:rPr>
              <w:tab/>
              <w:t>Simplificar sistemas de cobro y ampliar las opciones de pago.</w:t>
            </w:r>
          </w:p>
          <w:p w:rsidR="00B83815" w:rsidRPr="00992D26" w:rsidRDefault="003F0B46" w:rsidP="003F0B46">
            <w:pPr>
              <w:pStyle w:val="Texto"/>
              <w:spacing w:line="225" w:lineRule="exact"/>
              <w:ind w:left="703" w:hanging="360"/>
              <w:rPr>
                <w:rFonts w:ascii="Arial Narrow" w:hAnsi="Arial Narrow"/>
              </w:rPr>
            </w:pPr>
            <w:r>
              <w:rPr>
                <w:rFonts w:ascii="Arial Narrow" w:hAnsi="Arial Narrow"/>
              </w:rPr>
              <w:t>●</w:t>
            </w:r>
            <w:r>
              <w:rPr>
                <w:rFonts w:ascii="Arial Narrow" w:hAnsi="Arial Narrow"/>
              </w:rPr>
              <w:tab/>
              <w:t>Promover la cultura de pago mediante campañas informativas.</w:t>
            </w:r>
          </w:p>
        </w:tc>
      </w:tr>
      <w:tr w:rsidR="00B83815" w:rsidRPr="00992D26" w:rsidTr="00934835">
        <w:trPr>
          <w:cantSplit/>
          <w:trHeight w:val="195"/>
          <w:jc w:val="center"/>
        </w:trPr>
        <w:tc>
          <w:tcPr>
            <w:tcW w:w="8712" w:type="dxa"/>
            <w:tcBorders>
              <w:top w:val="single" w:sz="6" w:space="0" w:color="000000"/>
              <w:bottom w:val="single" w:sz="18" w:space="0" w:color="000000"/>
            </w:tcBorders>
          </w:tcPr>
          <w:p w:rsidR="00B83815" w:rsidRPr="00992D26" w:rsidRDefault="00B83815" w:rsidP="00934835">
            <w:pPr>
              <w:pStyle w:val="Texto"/>
              <w:spacing w:line="225" w:lineRule="exact"/>
              <w:ind w:firstLine="0"/>
              <w:rPr>
                <w:rFonts w:ascii="Arial Narrow" w:hAnsi="Arial Narrow"/>
                <w:b/>
              </w:rPr>
            </w:pPr>
            <w:r w:rsidRPr="00992D26">
              <w:rPr>
                <w:rFonts w:ascii="Arial Narrow" w:hAnsi="Arial Narrow"/>
                <w:b/>
              </w:rPr>
              <w:t>GASTO</w:t>
            </w:r>
          </w:p>
          <w:p w:rsidR="00B83815" w:rsidRPr="00992D26" w:rsidRDefault="003F0B46" w:rsidP="00934835">
            <w:pPr>
              <w:pStyle w:val="Texto"/>
              <w:spacing w:line="225" w:lineRule="exact"/>
              <w:ind w:left="703" w:hanging="360"/>
              <w:rPr>
                <w:rFonts w:ascii="Arial Narrow" w:hAnsi="Arial Narrow"/>
              </w:rPr>
            </w:pPr>
            <w:r>
              <w:rPr>
                <w:rFonts w:ascii="Arial Narrow" w:hAnsi="Arial Narrow"/>
              </w:rPr>
              <w:t>●</w:t>
            </w:r>
            <w:r>
              <w:rPr>
                <w:rFonts w:ascii="Arial Narrow" w:hAnsi="Arial Narrow"/>
              </w:rPr>
              <w:tab/>
              <w:t>Consolidar el Presupuesto basado en Resultados y el Sistema de Evaluación del Desempeño.</w:t>
            </w:r>
          </w:p>
          <w:p w:rsidR="00B83815" w:rsidRDefault="00B83815" w:rsidP="00191440">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r>
            <w:r w:rsidR="00191440">
              <w:rPr>
                <w:rFonts w:ascii="Arial Narrow" w:hAnsi="Arial Narrow"/>
              </w:rPr>
              <w:t>Incorporar esquemas de evaluación ciudadana a los programas sociales prioritarios.</w:t>
            </w:r>
          </w:p>
          <w:p w:rsidR="00191440" w:rsidRPr="00992D26" w:rsidRDefault="00191440" w:rsidP="00191440">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r>
            <w:r>
              <w:rPr>
                <w:rFonts w:ascii="Arial Narrow" w:hAnsi="Arial Narrow"/>
              </w:rPr>
              <w:t>Establecer medidas de austeridad, disciplina y racionalidad presupuestaria.</w:t>
            </w:r>
          </w:p>
        </w:tc>
      </w:tr>
    </w:tbl>
    <w:p w:rsidR="00B83815" w:rsidRPr="00992D26" w:rsidRDefault="00B83815" w:rsidP="00B83815">
      <w:pPr>
        <w:pStyle w:val="Sangradetextonormal"/>
        <w:ind w:left="540" w:firstLine="0"/>
        <w:jc w:val="left"/>
        <w:rPr>
          <w:rFonts w:ascii="Arial Narrow" w:hAnsi="Arial Narrow" w:cs="Arial"/>
          <w:b/>
          <w:bCs/>
          <w:sz w:val="16"/>
          <w:szCs w:val="16"/>
        </w:rPr>
      </w:pP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cs="Arial"/>
          <w:b/>
          <w:bCs/>
          <w:sz w:val="16"/>
          <w:szCs w:val="16"/>
        </w:rPr>
        <w:t xml:space="preserve">Fuente: </w:t>
      </w:r>
      <w:r w:rsidRPr="00992D26">
        <w:rPr>
          <w:rFonts w:ascii="Arial Narrow" w:hAnsi="Arial Narrow" w:cs="Arial"/>
          <w:b/>
          <w:bCs/>
          <w:sz w:val="16"/>
          <w:szCs w:val="16"/>
        </w:rPr>
        <w:tab/>
      </w:r>
      <w:r w:rsidRPr="00992D26">
        <w:rPr>
          <w:rFonts w:ascii="Arial Narrow" w:hAnsi="Arial Narrow" w:cs="Arial"/>
          <w:bCs/>
          <w:sz w:val="16"/>
          <w:szCs w:val="16"/>
        </w:rPr>
        <w:t>Plan Estat</w:t>
      </w:r>
      <w:r w:rsidR="00191440">
        <w:rPr>
          <w:rFonts w:ascii="Arial Narrow" w:hAnsi="Arial Narrow" w:cs="Arial"/>
          <w:bCs/>
          <w:sz w:val="16"/>
          <w:szCs w:val="16"/>
        </w:rPr>
        <w:t>al de Desarrollo de Nayarit 2017 - 2021</w:t>
      </w: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b/>
          <w:bCs/>
          <w:sz w:val="32"/>
          <w:szCs w:val="32"/>
        </w:rPr>
        <w:tab/>
      </w:r>
      <w:r w:rsidRPr="00992D26">
        <w:rPr>
          <w:rFonts w:ascii="Arial Narrow" w:hAnsi="Arial Narrow"/>
          <w:b/>
          <w:bCs/>
          <w:sz w:val="32"/>
          <w:szCs w:val="32"/>
        </w:rPr>
        <w:tab/>
      </w:r>
      <w:r w:rsidR="000052FF">
        <w:rPr>
          <w:rFonts w:ascii="Arial Narrow" w:hAnsi="Arial Narrow" w:cs="Arial"/>
          <w:bCs/>
          <w:sz w:val="16"/>
          <w:szCs w:val="16"/>
        </w:rPr>
        <w:t>Paquete Fiscal 20</w:t>
      </w:r>
      <w:r w:rsidR="00D01CBC">
        <w:rPr>
          <w:rFonts w:ascii="Arial Narrow" w:hAnsi="Arial Narrow" w:cs="Arial"/>
          <w:bCs/>
          <w:sz w:val="16"/>
          <w:szCs w:val="16"/>
        </w:rPr>
        <w:t>21</w:t>
      </w:r>
    </w:p>
    <w:p w:rsidR="00B83815" w:rsidRPr="006A2E34" w:rsidRDefault="00B83815" w:rsidP="00B83815">
      <w:pPr>
        <w:pStyle w:val="Sangradetextonormal"/>
        <w:ind w:left="708" w:firstLine="0"/>
        <w:jc w:val="left"/>
        <w:rPr>
          <w:rFonts w:ascii="Arial Narrow" w:hAnsi="Arial Narrow"/>
          <w:b/>
          <w:bCs/>
          <w:sz w:val="24"/>
          <w:szCs w:val="32"/>
        </w:rPr>
      </w:pPr>
    </w:p>
    <w:p w:rsidR="00B83815" w:rsidRPr="00F35C79" w:rsidRDefault="00B83815" w:rsidP="00B83815">
      <w:pPr>
        <w:pStyle w:val="Sangradetextonormal"/>
        <w:ind w:firstLine="0"/>
        <w:jc w:val="left"/>
        <w:rPr>
          <w:rFonts w:ascii="Arial Narrow" w:hAnsi="Arial Narrow"/>
          <w:b/>
          <w:bCs/>
          <w:szCs w:val="28"/>
        </w:rPr>
      </w:pPr>
      <w:r w:rsidRPr="00F35C79">
        <w:rPr>
          <w:rFonts w:ascii="Arial Narrow" w:hAnsi="Arial Narrow"/>
          <w:b/>
          <w:bCs/>
          <w:szCs w:val="28"/>
        </w:rPr>
        <w:t>2.1.2.4.- Resultados obtenidos</w:t>
      </w:r>
    </w:p>
    <w:p w:rsidR="00B83815" w:rsidRPr="006A2E34" w:rsidRDefault="00B83815" w:rsidP="00B83815">
      <w:pPr>
        <w:pStyle w:val="Sangradetextonormal"/>
        <w:spacing w:line="240" w:lineRule="exact"/>
        <w:ind w:left="709" w:firstLine="0"/>
        <w:jc w:val="left"/>
        <w:rPr>
          <w:rFonts w:ascii="Arial Narrow" w:hAnsi="Arial Narrow"/>
          <w:b/>
          <w:bCs/>
          <w:sz w:val="20"/>
          <w:szCs w:val="32"/>
        </w:rPr>
      </w:pPr>
    </w:p>
    <w:p w:rsidR="00B83815" w:rsidRPr="00F35C79" w:rsidRDefault="00B83815" w:rsidP="00B83815">
      <w:pPr>
        <w:pStyle w:val="Sangradetextonormal"/>
        <w:spacing w:line="240" w:lineRule="exact"/>
        <w:ind w:left="709" w:firstLine="0"/>
        <w:jc w:val="left"/>
        <w:rPr>
          <w:rFonts w:ascii="Arial Narrow" w:hAnsi="Arial Narrow"/>
          <w:b/>
          <w:bCs/>
          <w:sz w:val="32"/>
          <w:szCs w:val="32"/>
        </w:rPr>
      </w:pPr>
    </w:p>
    <w:p w:rsidR="00B83815" w:rsidRPr="00F35C79" w:rsidRDefault="00B83815" w:rsidP="00B83815">
      <w:pPr>
        <w:pStyle w:val="Sangradetextonormal"/>
        <w:ind w:firstLine="708"/>
        <w:rPr>
          <w:rFonts w:ascii="Arial Narrow" w:hAnsi="Arial Narrow"/>
          <w:sz w:val="22"/>
          <w:szCs w:val="22"/>
        </w:rPr>
      </w:pPr>
      <w:r w:rsidRPr="00F35C79">
        <w:rPr>
          <w:rFonts w:ascii="Arial Narrow" w:hAnsi="Arial Narrow"/>
          <w:sz w:val="22"/>
          <w:szCs w:val="22"/>
        </w:rPr>
        <w:t xml:space="preserve">En esta sección se destacan los resultados alcanzados en la gestión financiera emprendida durante el </w:t>
      </w:r>
      <w:r w:rsidR="000052FF">
        <w:rPr>
          <w:rFonts w:ascii="Arial Narrow" w:hAnsi="Arial Narrow"/>
          <w:sz w:val="22"/>
          <w:szCs w:val="22"/>
        </w:rPr>
        <w:t>Ejercicio Fiscal 20</w:t>
      </w:r>
      <w:r w:rsidR="00D01CBC">
        <w:rPr>
          <w:rFonts w:ascii="Arial Narrow" w:hAnsi="Arial Narrow"/>
          <w:sz w:val="22"/>
          <w:szCs w:val="22"/>
        </w:rPr>
        <w:t>21</w:t>
      </w:r>
      <w:r w:rsidRPr="00F35C79">
        <w:rPr>
          <w:rFonts w:ascii="Arial Narrow" w:hAnsi="Arial Narrow"/>
          <w:sz w:val="22"/>
          <w:szCs w:val="22"/>
        </w:rPr>
        <w:t xml:space="preserve"> derivado de la puesta en práctica de los objetivos, estrategias y metas de la política fiscal establecidos para el periodo que nos ocupa.</w:t>
      </w:r>
    </w:p>
    <w:p w:rsidR="00B83815" w:rsidRPr="006A2E34" w:rsidRDefault="00B83815" w:rsidP="00B83815">
      <w:pPr>
        <w:pStyle w:val="Sangradetextonormal"/>
        <w:ind w:firstLine="708"/>
        <w:rPr>
          <w:rFonts w:ascii="Arial Narrow" w:hAnsi="Arial Narrow"/>
          <w:sz w:val="18"/>
          <w:szCs w:val="22"/>
        </w:rPr>
      </w:pPr>
    </w:p>
    <w:p w:rsidR="00B83815" w:rsidRPr="00A143DE" w:rsidRDefault="00B83815" w:rsidP="00B83815">
      <w:pPr>
        <w:pStyle w:val="Sangradetextonormal"/>
        <w:ind w:firstLine="708"/>
        <w:rPr>
          <w:rFonts w:ascii="Arial Narrow" w:hAnsi="Arial Narrow"/>
          <w:sz w:val="22"/>
          <w:szCs w:val="22"/>
        </w:rPr>
      </w:pPr>
      <w:r w:rsidRPr="00F35C79">
        <w:rPr>
          <w:rFonts w:ascii="Arial Narrow" w:hAnsi="Arial Narrow"/>
          <w:sz w:val="22"/>
          <w:szCs w:val="22"/>
        </w:rPr>
        <w:t>En cumplimiento a lo dispuesto en el Capítulo VII del Manual de Contabilidad Gubernamental, en la página siguiente se presenta el cuadro denominado Indicadores de Postura Fiscal.</w:t>
      </w:r>
    </w:p>
    <w:p w:rsidR="00B83815" w:rsidRPr="00FA6503" w:rsidRDefault="001804DB" w:rsidP="00B83815">
      <w:pPr>
        <w:pStyle w:val="Sangradetextonormal"/>
        <w:ind w:firstLine="708"/>
        <w:rPr>
          <w:rFonts w:ascii="Arial Narrow" w:hAnsi="Arial Narrow"/>
          <w:bCs/>
          <w:sz w:val="32"/>
          <w:szCs w:val="32"/>
        </w:rPr>
      </w:pPr>
      <w:r>
        <w:rPr>
          <w:rFonts w:ascii="Arial Narrow" w:hAnsi="Arial Narrow"/>
          <w:bCs/>
          <w:noProof/>
          <w:sz w:val="32"/>
          <w:szCs w:val="32"/>
        </w:rPr>
        <w:lastRenderedPageBreak/>
        <w:pict>
          <v:shape id="_x0000_s1046" type="#_x0000_t75" style="position:absolute;left:0;text-align:left;margin-left:-3.4pt;margin-top:7.05pt;width:450.15pt;height:350.35pt;z-index:252026880;mso-position-horizontal-relative:text;mso-position-vertical-relative:text">
            <v:imagedata r:id="rId15" o:title=""/>
          </v:shape>
          <o:OLEObject Type="Link" ProgID="Excel.Sheet.8" ShapeID="_x0000_s1046" DrawAspect="Content" r:id="rId16" UpdateMode="Always">
            <o:LinkType>EnhancedMetaFile</o:LinkType>
            <o:LockedField>false</o:LockedField>
          </o:OLEObject>
        </w:pict>
      </w: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6A2E34" w:rsidRPr="00992D26" w:rsidRDefault="006A2E34" w:rsidP="00B83815">
      <w:pPr>
        <w:pStyle w:val="Sangradetextonormal"/>
        <w:ind w:left="708" w:firstLine="0"/>
        <w:jc w:val="left"/>
        <w:rPr>
          <w:rFonts w:ascii="Arial Narrow" w:hAnsi="Arial Narrow"/>
          <w:b/>
          <w:bCs/>
          <w:sz w:val="32"/>
          <w:szCs w:val="32"/>
        </w:rPr>
      </w:pPr>
    </w:p>
    <w:p w:rsidR="00934835" w:rsidRDefault="00934835" w:rsidP="00934835">
      <w:pPr>
        <w:pStyle w:val="Sangradetextonormal"/>
        <w:ind w:left="142" w:hanging="142"/>
        <w:rPr>
          <w:rFonts w:ascii="Arial Narrow" w:hAnsi="Arial Narrow"/>
          <w:bCs/>
          <w:sz w:val="14"/>
          <w:szCs w:val="14"/>
        </w:rPr>
      </w:pPr>
      <w:r w:rsidRPr="00187D10">
        <w:rPr>
          <w:rFonts w:ascii="Arial Narrow" w:hAnsi="Arial Narrow"/>
          <w:bCs/>
          <w:sz w:val="14"/>
          <w:szCs w:val="14"/>
          <w:vertAlign w:val="superscript"/>
        </w:rPr>
        <w:t xml:space="preserve">1 </w:t>
      </w:r>
      <w:r w:rsidRPr="00934835">
        <w:rPr>
          <w:rFonts w:ascii="Arial Narrow" w:hAnsi="Arial Narrow"/>
          <w:bCs/>
          <w:sz w:val="14"/>
          <w:szCs w:val="14"/>
        </w:rPr>
        <w:t>Los Ingresos que se presentan son los ingresos presupuestarios totales sin incluir los ingresos por financiamientos. Los Ingresos del Gobierno de la Entidad Federat</w:t>
      </w:r>
      <w:r w:rsidR="00E103B3">
        <w:rPr>
          <w:rFonts w:ascii="Arial Narrow" w:hAnsi="Arial Narrow"/>
          <w:bCs/>
          <w:sz w:val="14"/>
          <w:szCs w:val="14"/>
        </w:rPr>
        <w:t xml:space="preserve">iva corresponden </w:t>
      </w:r>
      <w:r w:rsidRPr="00934835">
        <w:rPr>
          <w:rFonts w:ascii="Arial Narrow" w:hAnsi="Arial Narrow"/>
          <w:bCs/>
          <w:sz w:val="14"/>
          <w:szCs w:val="14"/>
        </w:rPr>
        <w:t>a los del Poder Ejecutivo, Legislativo, Judicial y Órganos Autónomos. Los ingresos del Sector Paraestatal no consideran los importes por Transferencias, Asignaciones, Subsidios y Otras Ayudas recibidas del Poder Ejecutivo del Estado.</w:t>
      </w:r>
    </w:p>
    <w:p w:rsidR="00934835" w:rsidRDefault="00934835" w:rsidP="00934835">
      <w:pPr>
        <w:pStyle w:val="Sangradetextonormal"/>
        <w:ind w:left="142" w:hanging="142"/>
        <w:rPr>
          <w:rFonts w:ascii="Arial Narrow" w:hAnsi="Arial Narrow"/>
          <w:bCs/>
          <w:sz w:val="14"/>
          <w:szCs w:val="14"/>
        </w:rPr>
      </w:pPr>
      <w:r w:rsidRPr="00187D10">
        <w:rPr>
          <w:rFonts w:ascii="Arial Narrow" w:hAnsi="Arial Narrow"/>
          <w:bCs/>
          <w:sz w:val="14"/>
          <w:szCs w:val="14"/>
          <w:vertAlign w:val="superscript"/>
        </w:rPr>
        <w:t>2</w:t>
      </w:r>
      <w:r>
        <w:rPr>
          <w:rFonts w:ascii="Arial Narrow" w:hAnsi="Arial Narrow"/>
          <w:bCs/>
          <w:sz w:val="14"/>
          <w:szCs w:val="14"/>
        </w:rPr>
        <w:t xml:space="preserve"> </w:t>
      </w:r>
      <w:r w:rsidRPr="00934835">
        <w:rPr>
          <w:rFonts w:ascii="Arial Narrow" w:hAnsi="Arial Narrow"/>
          <w:bCs/>
          <w:sz w:val="14"/>
          <w:szCs w:val="14"/>
        </w:rPr>
        <w:t>Los egresos que se presentan son los egresos presupuestarios totales sin incluir los egresos por amortización. Los egresos del Gobierno de la Entidad Federat</w:t>
      </w:r>
      <w:r w:rsidR="00E103B3">
        <w:rPr>
          <w:rFonts w:ascii="Arial Narrow" w:hAnsi="Arial Narrow"/>
          <w:bCs/>
          <w:sz w:val="14"/>
          <w:szCs w:val="14"/>
        </w:rPr>
        <w:t xml:space="preserve">iva corresponden </w:t>
      </w:r>
      <w:r w:rsidRPr="00934835">
        <w:rPr>
          <w:rFonts w:ascii="Arial Narrow" w:hAnsi="Arial Narrow"/>
          <w:bCs/>
          <w:sz w:val="14"/>
          <w:szCs w:val="14"/>
        </w:rPr>
        <w:t>a los del Poder Ejecutivo, Legislativo, Judicial y Órganos Autón</w:t>
      </w:r>
      <w:r w:rsidR="00B1643A">
        <w:rPr>
          <w:rFonts w:ascii="Arial Narrow" w:hAnsi="Arial Narrow"/>
          <w:bCs/>
          <w:sz w:val="14"/>
          <w:szCs w:val="14"/>
        </w:rPr>
        <w:t xml:space="preserve">omos, sin considerar </w:t>
      </w:r>
      <w:r w:rsidRPr="00934835">
        <w:rPr>
          <w:rFonts w:ascii="Arial Narrow" w:hAnsi="Arial Narrow"/>
          <w:bCs/>
          <w:sz w:val="14"/>
          <w:szCs w:val="14"/>
        </w:rPr>
        <w:t>las Transferencias, Asignaciones, Subsidios y Otras Ayudas realizadas al Sector Paraestatal del Estado.</w:t>
      </w:r>
      <w:r>
        <w:rPr>
          <w:rFonts w:ascii="Arial Narrow" w:hAnsi="Arial Narrow"/>
          <w:bCs/>
          <w:sz w:val="14"/>
          <w:szCs w:val="14"/>
        </w:rPr>
        <w:t xml:space="preserve"> </w:t>
      </w:r>
    </w:p>
    <w:p w:rsidR="00934835" w:rsidRDefault="00934835" w:rsidP="00934835">
      <w:pPr>
        <w:pStyle w:val="Sangradetextonormal"/>
        <w:ind w:left="142" w:hanging="142"/>
        <w:rPr>
          <w:rFonts w:ascii="Arial Narrow" w:hAnsi="Arial Narrow"/>
          <w:bCs/>
          <w:sz w:val="14"/>
          <w:szCs w:val="14"/>
        </w:rPr>
      </w:pPr>
      <w:r w:rsidRPr="00187D10">
        <w:rPr>
          <w:rFonts w:ascii="Arial Narrow" w:hAnsi="Arial Narrow"/>
          <w:bCs/>
          <w:sz w:val="14"/>
          <w:szCs w:val="14"/>
          <w:vertAlign w:val="superscript"/>
        </w:rPr>
        <w:t>3</w:t>
      </w:r>
      <w:r>
        <w:rPr>
          <w:rFonts w:ascii="Arial Narrow" w:hAnsi="Arial Narrow"/>
          <w:bCs/>
          <w:sz w:val="14"/>
          <w:szCs w:val="14"/>
        </w:rPr>
        <w:t xml:space="preserve"> </w:t>
      </w:r>
      <w:r w:rsidRPr="00934835">
        <w:rPr>
          <w:rFonts w:ascii="Arial Narrow" w:hAnsi="Arial Narrow"/>
          <w:bCs/>
          <w:sz w:val="14"/>
          <w:szCs w:val="14"/>
        </w:rPr>
        <w:t>Para Ingresos se reportan los ingresos recaudados; para egresos se reportan los egresos pagados.</w:t>
      </w:r>
    </w:p>
    <w:p w:rsidR="00B83815" w:rsidRPr="00934835" w:rsidRDefault="00934835" w:rsidP="00934835">
      <w:pPr>
        <w:pStyle w:val="Sangradetextonormal"/>
        <w:ind w:left="708" w:firstLine="0"/>
        <w:rPr>
          <w:rFonts w:ascii="Arial Narrow" w:hAnsi="Arial Narrow"/>
          <w:bCs/>
          <w:sz w:val="14"/>
          <w:szCs w:val="14"/>
        </w:rPr>
      </w:pPr>
      <w:r w:rsidRPr="00934835">
        <w:rPr>
          <w:rFonts w:ascii="Arial Narrow" w:hAnsi="Arial Narrow"/>
          <w:bCs/>
          <w:sz w:val="14"/>
          <w:szCs w:val="14"/>
        </w:rPr>
        <w:tab/>
      </w:r>
      <w:r w:rsidRPr="00934835">
        <w:rPr>
          <w:rFonts w:ascii="Arial Narrow" w:hAnsi="Arial Narrow"/>
          <w:bCs/>
          <w:sz w:val="14"/>
          <w:szCs w:val="14"/>
        </w:rPr>
        <w:tab/>
      </w:r>
      <w:r w:rsidRPr="00934835">
        <w:rPr>
          <w:rFonts w:ascii="Arial Narrow" w:hAnsi="Arial Narrow"/>
          <w:bCs/>
          <w:sz w:val="14"/>
          <w:szCs w:val="14"/>
        </w:rPr>
        <w:tab/>
      </w:r>
    </w:p>
    <w:p w:rsidR="00B83815" w:rsidRPr="00992D26" w:rsidRDefault="00B83815" w:rsidP="00B83815">
      <w:pPr>
        <w:pStyle w:val="Sangradetextonormal"/>
        <w:ind w:left="708" w:firstLine="0"/>
        <w:jc w:val="left"/>
        <w:rPr>
          <w:rFonts w:ascii="Arial Narrow" w:hAnsi="Arial Narrow"/>
          <w:b/>
          <w:bCs/>
          <w:sz w:val="32"/>
          <w:szCs w:val="32"/>
        </w:rPr>
      </w:pPr>
    </w:p>
    <w:p w:rsidR="00B83815" w:rsidRPr="00F35C79" w:rsidRDefault="00B83815" w:rsidP="00B83815">
      <w:pPr>
        <w:pStyle w:val="Sangradetextonormal"/>
        <w:ind w:firstLine="708"/>
        <w:rPr>
          <w:rFonts w:ascii="Arial Narrow" w:hAnsi="Arial Narrow"/>
          <w:b/>
          <w:bCs/>
          <w:sz w:val="22"/>
          <w:szCs w:val="22"/>
        </w:rPr>
      </w:pPr>
      <w:r w:rsidRPr="00F35C79">
        <w:rPr>
          <w:rFonts w:ascii="Arial Narrow" w:hAnsi="Arial Narrow"/>
          <w:sz w:val="22"/>
          <w:szCs w:val="22"/>
        </w:rPr>
        <w:lastRenderedPageBreak/>
        <w:t xml:space="preserve">Con base en las cifras arrojadas por el cuadro anterior, a continuación se comentan los resultados generales de las finanzas públicas del Gobierno del Estado de Nayarit tomando como referencia los principales Indicadores de Postura Fiscal determinados en dicho cuadro:  </w:t>
      </w:r>
    </w:p>
    <w:p w:rsidR="00B83815" w:rsidRPr="00F35C79" w:rsidRDefault="00B83815" w:rsidP="00B83815">
      <w:pPr>
        <w:pStyle w:val="Sangradetextonormal"/>
        <w:ind w:left="709" w:firstLine="0"/>
        <w:jc w:val="left"/>
        <w:rPr>
          <w:rFonts w:ascii="Arial Narrow" w:hAnsi="Arial Narrow"/>
          <w:b/>
          <w:bCs/>
          <w:sz w:val="32"/>
          <w:szCs w:val="32"/>
        </w:rPr>
      </w:pPr>
    </w:p>
    <w:p w:rsidR="00B83815" w:rsidRPr="00F35C79" w:rsidRDefault="00B83815" w:rsidP="00B83815">
      <w:pPr>
        <w:pStyle w:val="Sangradetextonormal"/>
        <w:numPr>
          <w:ilvl w:val="0"/>
          <w:numId w:val="12"/>
        </w:numPr>
        <w:jc w:val="left"/>
        <w:rPr>
          <w:rFonts w:ascii="Arial Narrow" w:hAnsi="Arial Narrow"/>
          <w:b/>
          <w:bCs/>
          <w:szCs w:val="28"/>
        </w:rPr>
      </w:pPr>
      <w:r w:rsidRPr="00F35C79">
        <w:rPr>
          <w:rFonts w:ascii="Arial Narrow" w:hAnsi="Arial Narrow"/>
          <w:b/>
          <w:bCs/>
          <w:szCs w:val="28"/>
        </w:rPr>
        <w:t>Balance Presupuestario</w:t>
      </w:r>
    </w:p>
    <w:p w:rsidR="00B83815" w:rsidRPr="00F35C79" w:rsidRDefault="00B83815" w:rsidP="00B83815">
      <w:pPr>
        <w:pStyle w:val="Sangradetextonormal"/>
        <w:ind w:left="709" w:firstLine="0"/>
        <w:jc w:val="left"/>
        <w:rPr>
          <w:rFonts w:ascii="Arial Narrow" w:hAnsi="Arial Narrow"/>
          <w:b/>
          <w:bCs/>
          <w:sz w:val="32"/>
          <w:szCs w:val="32"/>
        </w:rPr>
      </w:pPr>
    </w:p>
    <w:p w:rsidR="00B83815" w:rsidRPr="00F35C79" w:rsidRDefault="00B83815" w:rsidP="00B83815">
      <w:pPr>
        <w:pStyle w:val="Sangradetextonormal"/>
        <w:ind w:firstLine="708"/>
        <w:rPr>
          <w:rFonts w:ascii="Arial Narrow" w:hAnsi="Arial Narrow"/>
          <w:sz w:val="22"/>
          <w:szCs w:val="22"/>
        </w:rPr>
      </w:pPr>
      <w:r w:rsidRPr="00F35C79">
        <w:rPr>
          <w:rFonts w:ascii="Arial Narrow" w:hAnsi="Arial Narrow"/>
          <w:sz w:val="22"/>
          <w:szCs w:val="22"/>
        </w:rPr>
        <w:t>Este concepto se define como la diferencia entre los ingresos totales (corrientes y de capital)  incluidos en la Ley de Ingresos con excepción de los financiamientos y los gastos totales (corrientes y de capital) considerados en el Presupuesto de Egresos, con excepción de la amortización de la deuda.</w:t>
      </w:r>
    </w:p>
    <w:p w:rsidR="00B83815" w:rsidRPr="0020497E" w:rsidRDefault="00B83815" w:rsidP="00B83815">
      <w:pPr>
        <w:pStyle w:val="Sangradetextonormal"/>
        <w:ind w:left="709" w:firstLine="0"/>
        <w:jc w:val="left"/>
        <w:rPr>
          <w:rFonts w:ascii="Arial Narrow" w:hAnsi="Arial Narrow"/>
          <w:b/>
          <w:bCs/>
          <w:sz w:val="22"/>
          <w:szCs w:val="22"/>
          <w:highlight w:val="yellow"/>
        </w:rPr>
      </w:pPr>
    </w:p>
    <w:p w:rsidR="00B83815" w:rsidRPr="00DF2957" w:rsidRDefault="00B83815" w:rsidP="00B83815">
      <w:pPr>
        <w:pStyle w:val="Sangradetextonormal"/>
        <w:rPr>
          <w:rFonts w:ascii="Arial Narrow" w:hAnsi="Arial Narrow"/>
          <w:sz w:val="22"/>
          <w:szCs w:val="22"/>
        </w:rPr>
      </w:pPr>
      <w:r w:rsidRPr="00F35C79">
        <w:rPr>
          <w:rFonts w:ascii="Arial Narrow" w:hAnsi="Arial Narrow"/>
          <w:sz w:val="22"/>
          <w:szCs w:val="22"/>
        </w:rPr>
        <w:t xml:space="preserve">En este caso, el Gobierno del Estado de Nayarit </w:t>
      </w:r>
      <w:r w:rsidR="001F2A97">
        <w:rPr>
          <w:rFonts w:ascii="Arial Narrow" w:hAnsi="Arial Narrow"/>
          <w:sz w:val="22"/>
          <w:szCs w:val="22"/>
        </w:rPr>
        <w:t>durante el Ejercicio Fiscal 20</w:t>
      </w:r>
      <w:r w:rsidR="00D01CBC">
        <w:rPr>
          <w:rFonts w:ascii="Arial Narrow" w:hAnsi="Arial Narrow"/>
          <w:sz w:val="22"/>
          <w:szCs w:val="22"/>
        </w:rPr>
        <w:t>21</w:t>
      </w:r>
      <w:r w:rsidR="006A2E34">
        <w:rPr>
          <w:rFonts w:ascii="Arial Narrow" w:hAnsi="Arial Narrow"/>
          <w:sz w:val="22"/>
          <w:szCs w:val="22"/>
        </w:rPr>
        <w:t xml:space="preserve"> presentó un </w:t>
      </w:r>
      <w:r w:rsidR="001F2A97">
        <w:rPr>
          <w:rFonts w:ascii="Arial Narrow" w:hAnsi="Arial Narrow"/>
          <w:sz w:val="22"/>
          <w:szCs w:val="22"/>
        </w:rPr>
        <w:t>superávit</w:t>
      </w:r>
      <w:r w:rsidR="006A2E34">
        <w:rPr>
          <w:rFonts w:ascii="Arial Narrow" w:hAnsi="Arial Narrow"/>
          <w:sz w:val="22"/>
          <w:szCs w:val="22"/>
        </w:rPr>
        <w:t xml:space="preserve"> por monto de </w:t>
      </w:r>
      <w:r w:rsidR="001F2A97" w:rsidRPr="001F2A97">
        <w:rPr>
          <w:rFonts w:ascii="Arial Narrow" w:hAnsi="Arial Narrow"/>
          <w:sz w:val="22"/>
          <w:szCs w:val="22"/>
        </w:rPr>
        <w:t xml:space="preserve"> </w:t>
      </w:r>
      <w:r w:rsidR="00BC4121" w:rsidRPr="00BC4121">
        <w:rPr>
          <w:rFonts w:ascii="Arial Narrow" w:hAnsi="Arial Narrow"/>
          <w:sz w:val="22"/>
          <w:szCs w:val="22"/>
        </w:rPr>
        <w:t>$</w:t>
      </w:r>
      <w:r w:rsidR="00BC4121">
        <w:rPr>
          <w:rFonts w:ascii="Arial Narrow" w:hAnsi="Arial Narrow"/>
          <w:sz w:val="22"/>
          <w:szCs w:val="22"/>
        </w:rPr>
        <w:t xml:space="preserve"> </w:t>
      </w:r>
      <w:r w:rsidR="00BC4121" w:rsidRPr="00BC4121">
        <w:rPr>
          <w:rFonts w:ascii="Arial Narrow" w:hAnsi="Arial Narrow"/>
          <w:sz w:val="22"/>
          <w:szCs w:val="22"/>
        </w:rPr>
        <w:t xml:space="preserve">1,513,590,776.93 </w:t>
      </w:r>
      <w:r w:rsidR="00F35C79">
        <w:rPr>
          <w:rFonts w:ascii="Arial Narrow" w:hAnsi="Arial Narrow"/>
          <w:sz w:val="22"/>
          <w:szCs w:val="22"/>
        </w:rPr>
        <w:t>(</w:t>
      </w:r>
      <w:r w:rsidR="00BC4121">
        <w:rPr>
          <w:rFonts w:ascii="Arial Narrow" w:hAnsi="Arial Narrow"/>
          <w:sz w:val="22"/>
          <w:szCs w:val="22"/>
        </w:rPr>
        <w:t>un mil quinientos trece millones quinientos noventa mil setecientos setenta y seis</w:t>
      </w:r>
      <w:r w:rsidR="001F2A97">
        <w:rPr>
          <w:rFonts w:ascii="Arial Narrow" w:hAnsi="Arial Narrow"/>
          <w:sz w:val="22"/>
          <w:szCs w:val="22"/>
        </w:rPr>
        <w:t xml:space="preserve"> pesos </w:t>
      </w:r>
      <w:r w:rsidR="00BC4121">
        <w:rPr>
          <w:rFonts w:ascii="Arial Narrow" w:hAnsi="Arial Narrow"/>
          <w:sz w:val="22"/>
          <w:szCs w:val="22"/>
        </w:rPr>
        <w:t>9</w:t>
      </w:r>
      <w:r w:rsidR="00FA6503">
        <w:rPr>
          <w:rFonts w:ascii="Arial Narrow" w:hAnsi="Arial Narrow"/>
          <w:sz w:val="22"/>
          <w:szCs w:val="22"/>
        </w:rPr>
        <w:t>3</w:t>
      </w:r>
      <w:r w:rsidRPr="00F35C79">
        <w:rPr>
          <w:rFonts w:ascii="Arial Narrow" w:hAnsi="Arial Narrow"/>
          <w:sz w:val="22"/>
          <w:szCs w:val="22"/>
        </w:rPr>
        <w:t>/100 m. n.) al comparar el gasto pagado con respecto a los ingresos recaudados en el período que se reporta, según se muestra en la tabla siguiente:</w:t>
      </w:r>
    </w:p>
    <w:p w:rsidR="00B83815" w:rsidRPr="00992D26" w:rsidRDefault="00B83815" w:rsidP="00B83815">
      <w:pPr>
        <w:pStyle w:val="Sangradetextonormal"/>
        <w:rPr>
          <w:rFonts w:ascii="Arial Narrow" w:hAnsi="Arial Narrow"/>
          <w:sz w:val="25"/>
        </w:rPr>
      </w:pPr>
    </w:p>
    <w:p w:rsidR="00B83815" w:rsidRPr="00992D26" w:rsidRDefault="001804DB" w:rsidP="00B83815">
      <w:pPr>
        <w:pStyle w:val="Sangradetextonormal"/>
        <w:rPr>
          <w:rFonts w:ascii="Arial Narrow" w:hAnsi="Arial Narrow"/>
        </w:rPr>
      </w:pPr>
      <w:r>
        <w:rPr>
          <w:rFonts w:ascii="Arial Narrow" w:hAnsi="Arial Narrow"/>
          <w:noProof/>
        </w:rPr>
        <w:pict>
          <v:shape id="_x0000_s1047" type="#_x0000_t75" style="position:absolute;left:0;text-align:left;margin-left:13.85pt;margin-top:.3pt;width:415.5pt;height:75.75pt;z-index:252028928;mso-position-horizontal-relative:text;mso-position-vertical-relative:text">
            <v:imagedata r:id="rId17" o:title=""/>
          </v:shape>
          <o:OLEObject Type="Link" ProgID="Excel.Sheet.8" ShapeID="_x0000_s1047" DrawAspect="Content" r:id="rId18" UpdateMode="Always">
            <o:LinkType>EnhancedMetaFile</o:LinkType>
            <o:LockedField>false</o:LockedField>
          </o:OLEObject>
        </w:pic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DF2957" w:rsidRDefault="00B83815" w:rsidP="00B83815">
      <w:pPr>
        <w:pStyle w:val="Sangradetextonormal"/>
        <w:rPr>
          <w:rFonts w:ascii="Arial Narrow" w:hAnsi="Arial Narrow"/>
          <w:sz w:val="22"/>
          <w:szCs w:val="22"/>
        </w:rPr>
      </w:pPr>
      <w:r w:rsidRPr="00F35C79">
        <w:rPr>
          <w:rFonts w:ascii="Arial Narrow" w:hAnsi="Arial Narrow"/>
          <w:sz w:val="22"/>
          <w:szCs w:val="22"/>
        </w:rPr>
        <w:t>Las cifras relativas a los recursos obtenidos y erogaciones efectuadas, se analizan de manera posterior en los apartados denominados Ingresos Presupuestarios y Gastos Presupuestarios.</w:t>
      </w:r>
    </w:p>
    <w:p w:rsidR="00B83815" w:rsidRDefault="00B83815" w:rsidP="00B83815">
      <w:pPr>
        <w:pStyle w:val="Sangradetextonormal"/>
        <w:ind w:firstLine="0"/>
        <w:jc w:val="left"/>
        <w:rPr>
          <w:rFonts w:ascii="Arial Narrow" w:hAnsi="Arial Narrow"/>
          <w:b/>
          <w:bCs/>
          <w:sz w:val="32"/>
          <w:szCs w:val="32"/>
        </w:rPr>
      </w:pPr>
    </w:p>
    <w:p w:rsidR="001F2A97" w:rsidRDefault="001F2A97"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F35C79" w:rsidRDefault="00B83815" w:rsidP="00B83815">
      <w:pPr>
        <w:pStyle w:val="Sangradetextonormal"/>
        <w:numPr>
          <w:ilvl w:val="0"/>
          <w:numId w:val="12"/>
        </w:numPr>
        <w:jc w:val="left"/>
        <w:rPr>
          <w:rFonts w:ascii="Arial Narrow" w:hAnsi="Arial Narrow"/>
          <w:b/>
          <w:bCs/>
          <w:szCs w:val="28"/>
        </w:rPr>
      </w:pPr>
      <w:r w:rsidRPr="00F35C79">
        <w:rPr>
          <w:rFonts w:ascii="Arial Narrow" w:hAnsi="Arial Narrow"/>
          <w:b/>
          <w:bCs/>
          <w:szCs w:val="28"/>
        </w:rPr>
        <w:lastRenderedPageBreak/>
        <w:t xml:space="preserve">Balance Primario </w:t>
      </w:r>
    </w:p>
    <w:p w:rsidR="00B83815" w:rsidRPr="00F35C79" w:rsidRDefault="00B83815" w:rsidP="00B83815">
      <w:pPr>
        <w:pStyle w:val="Sangradetextonormal"/>
        <w:spacing w:line="240" w:lineRule="auto"/>
        <w:jc w:val="left"/>
        <w:rPr>
          <w:rFonts w:ascii="Arial Narrow" w:hAnsi="Arial Narrow"/>
          <w:sz w:val="25"/>
        </w:rPr>
      </w:pPr>
    </w:p>
    <w:p w:rsidR="00B83815" w:rsidRPr="00F35C79" w:rsidRDefault="00B83815" w:rsidP="00B83815">
      <w:pPr>
        <w:pStyle w:val="Sangradetextonormal"/>
        <w:spacing w:line="240" w:lineRule="auto"/>
        <w:jc w:val="left"/>
        <w:rPr>
          <w:rFonts w:ascii="Arial Narrow" w:hAnsi="Arial Narrow"/>
          <w:sz w:val="25"/>
        </w:rPr>
      </w:pPr>
    </w:p>
    <w:p w:rsidR="00B83815" w:rsidRPr="00F35C79" w:rsidRDefault="00B83815" w:rsidP="00B83815">
      <w:pPr>
        <w:pStyle w:val="Sangradetextonormal"/>
        <w:rPr>
          <w:rFonts w:ascii="Arial Narrow" w:hAnsi="Arial Narrow"/>
          <w:sz w:val="22"/>
          <w:szCs w:val="22"/>
        </w:rPr>
      </w:pPr>
      <w:r w:rsidRPr="00F35C79">
        <w:rPr>
          <w:rFonts w:ascii="Arial Narrow" w:hAnsi="Arial Narrow"/>
          <w:sz w:val="22"/>
          <w:szCs w:val="22"/>
        </w:rPr>
        <w:t>Este concepto se define como la diferencia entre los ingresos totales incluidos en la Ley de Ingresos con excepción de los financiamientos y los gastos totales de los entes públicos considerados en el Presupuesto de Egresos, excluyendo de estos últimos, las erogaciones asociadas al costo financiero y a la amortización de la deuda.</w:t>
      </w:r>
    </w:p>
    <w:p w:rsidR="00B83815" w:rsidRPr="00F35C79" w:rsidRDefault="00B83815" w:rsidP="00B83815">
      <w:pPr>
        <w:pStyle w:val="Sangradetextonormal"/>
        <w:spacing w:line="240" w:lineRule="exact"/>
        <w:rPr>
          <w:rFonts w:ascii="Arial Narrow" w:hAnsi="Arial Narrow"/>
          <w:sz w:val="22"/>
          <w:szCs w:val="22"/>
        </w:rPr>
      </w:pPr>
    </w:p>
    <w:p w:rsidR="00B83815" w:rsidRPr="00F35C79" w:rsidRDefault="00B83815" w:rsidP="00B83815">
      <w:pPr>
        <w:pStyle w:val="Sangradetextonormal"/>
        <w:spacing w:line="240" w:lineRule="exact"/>
        <w:rPr>
          <w:rFonts w:ascii="Arial Narrow" w:hAnsi="Arial Narrow"/>
          <w:sz w:val="22"/>
          <w:szCs w:val="22"/>
        </w:rPr>
      </w:pPr>
    </w:p>
    <w:p w:rsidR="00B83815" w:rsidRPr="00F35C79" w:rsidRDefault="00B83815" w:rsidP="00B83815">
      <w:pPr>
        <w:pStyle w:val="Sangradetextonormal"/>
        <w:rPr>
          <w:rFonts w:ascii="Arial Narrow" w:hAnsi="Arial Narrow"/>
          <w:sz w:val="22"/>
          <w:szCs w:val="22"/>
        </w:rPr>
      </w:pPr>
      <w:r w:rsidRPr="00F35C79">
        <w:rPr>
          <w:rFonts w:ascii="Arial Narrow" w:hAnsi="Arial Narrow"/>
          <w:sz w:val="22"/>
          <w:szCs w:val="22"/>
        </w:rPr>
        <w:t xml:space="preserve">El balance primario muestra que el Gobierno del Estado de Nayarit </w:t>
      </w:r>
      <w:r w:rsidR="008C467B">
        <w:rPr>
          <w:rFonts w:ascii="Arial Narrow" w:hAnsi="Arial Narrow"/>
          <w:sz w:val="22"/>
          <w:szCs w:val="22"/>
        </w:rPr>
        <w:t>durante e</w:t>
      </w:r>
      <w:r w:rsidR="001F2A97">
        <w:rPr>
          <w:rFonts w:ascii="Arial Narrow" w:hAnsi="Arial Narrow"/>
          <w:sz w:val="22"/>
          <w:szCs w:val="22"/>
        </w:rPr>
        <w:t>l Ejercicio Fiscal 20</w:t>
      </w:r>
      <w:r w:rsidR="00D01CBC">
        <w:rPr>
          <w:rFonts w:ascii="Arial Narrow" w:hAnsi="Arial Narrow"/>
          <w:sz w:val="22"/>
          <w:szCs w:val="22"/>
        </w:rPr>
        <w:t>21</w:t>
      </w:r>
      <w:r w:rsidRPr="00F35C79">
        <w:rPr>
          <w:rFonts w:ascii="Arial Narrow" w:hAnsi="Arial Narrow"/>
          <w:sz w:val="22"/>
          <w:szCs w:val="22"/>
        </w:rPr>
        <w:t xml:space="preserve"> incurrió en un superávit por l</w:t>
      </w:r>
      <w:r w:rsidR="006A2E34">
        <w:rPr>
          <w:rFonts w:ascii="Arial Narrow" w:hAnsi="Arial Narrow"/>
          <w:sz w:val="22"/>
          <w:szCs w:val="22"/>
        </w:rPr>
        <w:t xml:space="preserve">a cantidad de </w:t>
      </w:r>
      <w:r w:rsidR="00BC4121" w:rsidRPr="00BC4121">
        <w:rPr>
          <w:rFonts w:ascii="Arial Narrow" w:hAnsi="Arial Narrow"/>
          <w:sz w:val="22"/>
          <w:szCs w:val="22"/>
        </w:rPr>
        <w:t xml:space="preserve">$1,820,749,560.29 </w:t>
      </w:r>
      <w:r w:rsidRPr="00F35C79">
        <w:rPr>
          <w:rFonts w:ascii="Arial Narrow" w:hAnsi="Arial Narrow"/>
          <w:sz w:val="22"/>
          <w:szCs w:val="22"/>
        </w:rPr>
        <w:t>(</w:t>
      </w:r>
      <w:r w:rsidR="001F2A97">
        <w:rPr>
          <w:rFonts w:ascii="Arial Narrow" w:hAnsi="Arial Narrow"/>
          <w:sz w:val="22"/>
          <w:szCs w:val="22"/>
        </w:rPr>
        <w:t xml:space="preserve">un mil </w:t>
      </w:r>
      <w:r w:rsidR="00BC4121">
        <w:rPr>
          <w:rFonts w:ascii="Arial Narrow" w:hAnsi="Arial Narrow"/>
          <w:sz w:val="22"/>
          <w:szCs w:val="22"/>
        </w:rPr>
        <w:t xml:space="preserve">ochocientos veinte millones setecientos cuarenta y nueve mil quinientos sesenta </w:t>
      </w:r>
      <w:r w:rsidR="001F2A97">
        <w:rPr>
          <w:rFonts w:ascii="Arial Narrow" w:hAnsi="Arial Narrow"/>
          <w:sz w:val="22"/>
          <w:szCs w:val="22"/>
        </w:rPr>
        <w:t xml:space="preserve">pesos </w:t>
      </w:r>
      <w:r w:rsidR="00BC4121">
        <w:rPr>
          <w:rFonts w:ascii="Arial Narrow" w:hAnsi="Arial Narrow"/>
          <w:sz w:val="22"/>
          <w:szCs w:val="22"/>
        </w:rPr>
        <w:t>29</w:t>
      </w:r>
      <w:r w:rsidRPr="00F35C79">
        <w:rPr>
          <w:rFonts w:ascii="Arial Narrow" w:hAnsi="Arial Narrow"/>
          <w:sz w:val="22"/>
          <w:szCs w:val="22"/>
        </w:rPr>
        <w:t>/100 m. n.).</w:t>
      </w:r>
    </w:p>
    <w:p w:rsidR="00B83815" w:rsidRPr="00F35C79" w:rsidRDefault="00B83815" w:rsidP="00B83815">
      <w:pPr>
        <w:pStyle w:val="Sangradetextonormal"/>
        <w:spacing w:line="240" w:lineRule="exact"/>
        <w:rPr>
          <w:rFonts w:ascii="Arial Narrow" w:hAnsi="Arial Narrow"/>
          <w:sz w:val="22"/>
          <w:szCs w:val="22"/>
        </w:rPr>
      </w:pPr>
    </w:p>
    <w:p w:rsidR="00B83815" w:rsidRPr="00F35C79" w:rsidRDefault="00B83815" w:rsidP="00B83815">
      <w:pPr>
        <w:pStyle w:val="Sangradetextonormal"/>
        <w:spacing w:line="240" w:lineRule="exact"/>
        <w:rPr>
          <w:rFonts w:ascii="Arial Narrow" w:hAnsi="Arial Narrow"/>
          <w:sz w:val="22"/>
          <w:szCs w:val="22"/>
        </w:rPr>
      </w:pPr>
    </w:p>
    <w:p w:rsidR="00B83815" w:rsidRPr="00DF2957" w:rsidRDefault="00B83815" w:rsidP="00B83815">
      <w:pPr>
        <w:pStyle w:val="Sangradetextonormal"/>
        <w:rPr>
          <w:rFonts w:ascii="Arial Narrow" w:hAnsi="Arial Narrow"/>
          <w:sz w:val="22"/>
          <w:szCs w:val="22"/>
        </w:rPr>
      </w:pPr>
      <w:r w:rsidRPr="00F35C79">
        <w:rPr>
          <w:rFonts w:ascii="Arial Narrow" w:hAnsi="Arial Narrow"/>
          <w:sz w:val="22"/>
          <w:szCs w:val="22"/>
        </w:rPr>
        <w:t>Cabe señalar que este indicador mide el excedente o faltante de recursos fina</w:t>
      </w:r>
      <w:r w:rsidR="00F35C79">
        <w:rPr>
          <w:rFonts w:ascii="Arial Narrow" w:hAnsi="Arial Narrow"/>
          <w:sz w:val="22"/>
          <w:szCs w:val="22"/>
        </w:rPr>
        <w:t xml:space="preserve">ncieros en términos monetarios, </w:t>
      </w:r>
      <w:r w:rsidRPr="00F35C79">
        <w:rPr>
          <w:rFonts w:ascii="Arial Narrow" w:hAnsi="Arial Narrow"/>
          <w:sz w:val="22"/>
          <w:szCs w:val="22"/>
        </w:rPr>
        <w:t>y refleja el esfuerzo o relajamiento fiscal en un período determinado, al excluir el servicio de obligaciones adquiridas en el pasado, por lo</w:t>
      </w:r>
      <w:r w:rsidR="006A2E34">
        <w:rPr>
          <w:rFonts w:ascii="Arial Narrow" w:hAnsi="Arial Narrow"/>
          <w:sz w:val="22"/>
          <w:szCs w:val="22"/>
        </w:rPr>
        <w:t xml:space="preserve"> que en el Ejer</w:t>
      </w:r>
      <w:r w:rsidR="001F2A97">
        <w:rPr>
          <w:rFonts w:ascii="Arial Narrow" w:hAnsi="Arial Narrow"/>
          <w:sz w:val="22"/>
          <w:szCs w:val="22"/>
        </w:rPr>
        <w:t>cicio Fiscal 20</w:t>
      </w:r>
      <w:r w:rsidR="00BC4121">
        <w:rPr>
          <w:rFonts w:ascii="Arial Narrow" w:hAnsi="Arial Narrow"/>
          <w:sz w:val="22"/>
          <w:szCs w:val="22"/>
        </w:rPr>
        <w:t>21</w:t>
      </w:r>
      <w:r w:rsidRPr="00F35C79">
        <w:rPr>
          <w:rFonts w:ascii="Arial Narrow" w:hAnsi="Arial Narrow"/>
          <w:sz w:val="22"/>
          <w:szCs w:val="22"/>
        </w:rPr>
        <w:t xml:space="preserve"> se aprecia esta situación:</w:t>
      </w:r>
    </w:p>
    <w:p w:rsidR="00B83815" w:rsidRPr="00992D26" w:rsidRDefault="00B83815" w:rsidP="00B83815">
      <w:pPr>
        <w:pStyle w:val="Sangradetextonormal"/>
        <w:rPr>
          <w:rFonts w:ascii="Arial Narrow" w:hAnsi="Arial Narrow"/>
          <w:sz w:val="25"/>
        </w:rPr>
      </w:pPr>
    </w:p>
    <w:p w:rsidR="00B83815" w:rsidRPr="00992D26" w:rsidRDefault="001804DB" w:rsidP="00B83815">
      <w:pPr>
        <w:pStyle w:val="Sangradetextonormal"/>
        <w:rPr>
          <w:rFonts w:ascii="Arial Narrow" w:hAnsi="Arial Narrow"/>
          <w:sz w:val="25"/>
        </w:rPr>
      </w:pPr>
      <w:r>
        <w:rPr>
          <w:rFonts w:ascii="Arial Narrow" w:hAnsi="Arial Narrow"/>
          <w:noProof/>
          <w:sz w:val="25"/>
        </w:rPr>
        <w:pict>
          <v:shape id="_x0000_s1049" type="#_x0000_t75" style="position:absolute;left:0;text-align:left;margin-left:34.85pt;margin-top:7.5pt;width:351pt;height:63pt;z-index:252030976;mso-position-horizontal-relative:text;mso-position-vertical-relative:text">
            <v:imagedata r:id="rId19" o:title=""/>
          </v:shape>
          <o:OLEObject Type="Link" ProgID="Excel.Sheet.8" ShapeID="_x0000_s1049" DrawAspect="Content" r:id="rId20" UpdateMode="Always">
            <o:LinkType>EnhancedMetaFile</o:LinkType>
            <o:LockedField>false</o:LockedField>
          </o:OLEObject>
        </w:pic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szCs w:val="32"/>
        </w:rPr>
      </w:pPr>
    </w:p>
    <w:p w:rsidR="00B83815" w:rsidRPr="00992D26" w:rsidRDefault="00B83815" w:rsidP="00B83815">
      <w:pPr>
        <w:pStyle w:val="Sangradetextonormal"/>
        <w:rPr>
          <w:rFonts w:ascii="Arial Narrow" w:hAnsi="Arial Narrow"/>
          <w:sz w:val="25"/>
          <w:szCs w:val="32"/>
        </w:rPr>
      </w:pPr>
    </w:p>
    <w:p w:rsidR="00B83815" w:rsidRPr="00992D26" w:rsidRDefault="00B83815" w:rsidP="00B83815">
      <w:pPr>
        <w:pStyle w:val="Sangradetextonormal"/>
        <w:rPr>
          <w:rFonts w:ascii="Arial Narrow" w:hAnsi="Arial Narrow"/>
          <w:sz w:val="25"/>
          <w:szCs w:val="32"/>
        </w:rPr>
      </w:pPr>
    </w:p>
    <w:p w:rsidR="00B83815" w:rsidRDefault="00B83815" w:rsidP="00B83815">
      <w:pPr>
        <w:pStyle w:val="Sangradetextonormal"/>
        <w:rPr>
          <w:rFonts w:ascii="Arial Narrow" w:hAnsi="Arial Narrow"/>
          <w:sz w:val="25"/>
          <w:szCs w:val="32"/>
        </w:rPr>
      </w:pPr>
    </w:p>
    <w:p w:rsidR="005C4768" w:rsidRDefault="005C4768" w:rsidP="00B83815">
      <w:pPr>
        <w:pStyle w:val="Sangradetextonormal"/>
        <w:rPr>
          <w:rFonts w:ascii="Arial Narrow" w:hAnsi="Arial Narrow"/>
          <w:sz w:val="25"/>
          <w:szCs w:val="32"/>
        </w:rPr>
      </w:pPr>
    </w:p>
    <w:p w:rsidR="005C4768" w:rsidRDefault="005C4768" w:rsidP="00B83815">
      <w:pPr>
        <w:pStyle w:val="Sangradetextonormal"/>
        <w:rPr>
          <w:rFonts w:ascii="Arial Narrow" w:hAnsi="Arial Narrow"/>
          <w:sz w:val="25"/>
          <w:szCs w:val="32"/>
        </w:rPr>
      </w:pPr>
    </w:p>
    <w:p w:rsidR="005C4768" w:rsidRDefault="005C4768" w:rsidP="00B83815">
      <w:pPr>
        <w:pStyle w:val="Sangradetextonormal"/>
        <w:rPr>
          <w:rFonts w:ascii="Arial Narrow" w:hAnsi="Arial Narrow"/>
          <w:sz w:val="25"/>
          <w:szCs w:val="32"/>
        </w:rPr>
      </w:pPr>
    </w:p>
    <w:p w:rsidR="005C4768" w:rsidRDefault="005C4768" w:rsidP="00B83815">
      <w:pPr>
        <w:pStyle w:val="Sangradetextonormal"/>
        <w:rPr>
          <w:rFonts w:ascii="Arial Narrow" w:hAnsi="Arial Narrow"/>
          <w:sz w:val="25"/>
          <w:szCs w:val="32"/>
        </w:rPr>
      </w:pPr>
    </w:p>
    <w:p w:rsidR="00B83815" w:rsidRPr="00F3254F" w:rsidRDefault="00B83815" w:rsidP="00B83815">
      <w:pPr>
        <w:pStyle w:val="Sangradetextonormal"/>
        <w:numPr>
          <w:ilvl w:val="0"/>
          <w:numId w:val="12"/>
        </w:numPr>
        <w:jc w:val="left"/>
        <w:rPr>
          <w:rFonts w:ascii="Arial Narrow" w:hAnsi="Arial Narrow"/>
          <w:b/>
          <w:bCs/>
          <w:szCs w:val="28"/>
        </w:rPr>
      </w:pPr>
      <w:r w:rsidRPr="00F3254F">
        <w:rPr>
          <w:rFonts w:ascii="Arial Narrow" w:hAnsi="Arial Narrow"/>
          <w:b/>
          <w:bCs/>
          <w:szCs w:val="28"/>
        </w:rPr>
        <w:lastRenderedPageBreak/>
        <w:t>Endeudamiento o Desendeudamiento</w:t>
      </w:r>
    </w:p>
    <w:p w:rsidR="00B83815" w:rsidRPr="00F3254F" w:rsidRDefault="00B83815" w:rsidP="00B83815">
      <w:pPr>
        <w:pStyle w:val="Sangradetextonormal"/>
        <w:spacing w:line="240" w:lineRule="exact"/>
        <w:jc w:val="left"/>
        <w:rPr>
          <w:rFonts w:ascii="Arial Narrow" w:hAnsi="Arial Narrow"/>
          <w:sz w:val="25"/>
        </w:rPr>
      </w:pPr>
    </w:p>
    <w:p w:rsidR="00B83815" w:rsidRPr="009B1507" w:rsidRDefault="00B83815" w:rsidP="00EF2C18">
      <w:pPr>
        <w:pStyle w:val="Sangradetextonormal"/>
        <w:rPr>
          <w:rFonts w:ascii="Arial Narrow" w:hAnsi="Arial Narrow"/>
          <w:sz w:val="16"/>
          <w:szCs w:val="16"/>
        </w:rPr>
      </w:pPr>
      <w:r w:rsidRPr="00F3254F">
        <w:rPr>
          <w:rFonts w:ascii="Arial Narrow" w:hAnsi="Arial Narrow"/>
          <w:sz w:val="22"/>
          <w:szCs w:val="22"/>
        </w:rPr>
        <w:t>Este concepto se define como la diferencia entre el uso del financiamiento y las amortizaciones efectuadas de las obligaciones</w:t>
      </w:r>
      <w:r w:rsidR="00F54863">
        <w:rPr>
          <w:rFonts w:ascii="Arial Narrow" w:hAnsi="Arial Narrow"/>
          <w:sz w:val="22"/>
          <w:szCs w:val="22"/>
        </w:rPr>
        <w:t xml:space="preserve"> constitutivas de deuda pública, por lo </w:t>
      </w:r>
      <w:r w:rsidR="008C467B">
        <w:rPr>
          <w:rFonts w:ascii="Arial Narrow" w:hAnsi="Arial Narrow"/>
          <w:sz w:val="22"/>
          <w:szCs w:val="22"/>
        </w:rPr>
        <w:t>que</w:t>
      </w:r>
      <w:r w:rsidR="00F54863">
        <w:rPr>
          <w:rFonts w:ascii="Arial Narrow" w:hAnsi="Arial Narrow"/>
          <w:sz w:val="22"/>
          <w:szCs w:val="22"/>
        </w:rPr>
        <w:t xml:space="preserve"> al analizar los registros del gasto se informa que</w:t>
      </w:r>
      <w:r w:rsidR="00E33E21">
        <w:rPr>
          <w:rFonts w:ascii="Arial Narrow" w:hAnsi="Arial Narrow"/>
          <w:sz w:val="22"/>
          <w:szCs w:val="22"/>
        </w:rPr>
        <w:t xml:space="preserve"> en el Ejercicio Fiscal 20</w:t>
      </w:r>
      <w:r w:rsidR="00D01CBC">
        <w:rPr>
          <w:rFonts w:ascii="Arial Narrow" w:hAnsi="Arial Narrow"/>
          <w:sz w:val="22"/>
          <w:szCs w:val="22"/>
        </w:rPr>
        <w:t>21</w:t>
      </w:r>
      <w:r w:rsidRPr="00F3254F">
        <w:rPr>
          <w:rFonts w:ascii="Arial Narrow" w:hAnsi="Arial Narrow"/>
          <w:sz w:val="22"/>
          <w:szCs w:val="22"/>
        </w:rPr>
        <w:t xml:space="preserve"> el Gobierno del Estado de Nayarit reporta un </w:t>
      </w:r>
      <w:r w:rsidR="00BC4121">
        <w:rPr>
          <w:rFonts w:ascii="Arial Narrow" w:hAnsi="Arial Narrow"/>
          <w:sz w:val="22"/>
          <w:szCs w:val="22"/>
        </w:rPr>
        <w:t>des</w:t>
      </w:r>
      <w:r w:rsidRPr="00F3254F">
        <w:rPr>
          <w:rFonts w:ascii="Arial Narrow" w:hAnsi="Arial Narrow"/>
          <w:sz w:val="22"/>
          <w:szCs w:val="22"/>
        </w:rPr>
        <w:t>endeudamiento net</w:t>
      </w:r>
      <w:r w:rsidR="006A2E34">
        <w:rPr>
          <w:rFonts w:ascii="Arial Narrow" w:hAnsi="Arial Narrow"/>
          <w:sz w:val="22"/>
          <w:szCs w:val="22"/>
        </w:rPr>
        <w:t xml:space="preserve">o por importe de </w:t>
      </w:r>
      <w:r w:rsidR="00E33E21" w:rsidRPr="00E33E21">
        <w:rPr>
          <w:rFonts w:ascii="Arial Narrow" w:hAnsi="Arial Narrow"/>
          <w:sz w:val="22"/>
          <w:szCs w:val="22"/>
        </w:rPr>
        <w:t xml:space="preserve"> </w:t>
      </w:r>
      <w:r w:rsidR="007E53C8">
        <w:rPr>
          <w:rFonts w:ascii="Arial Narrow" w:hAnsi="Arial Narrow"/>
          <w:sz w:val="22"/>
          <w:szCs w:val="22"/>
        </w:rPr>
        <w:t>$</w:t>
      </w:r>
      <w:r w:rsidR="00BC4121">
        <w:rPr>
          <w:rFonts w:ascii="Arial Narrow" w:hAnsi="Arial Narrow"/>
          <w:sz w:val="22"/>
          <w:szCs w:val="22"/>
        </w:rPr>
        <w:t xml:space="preserve"> 20,676,767.00</w:t>
      </w:r>
      <w:r w:rsidR="00BC4121" w:rsidRPr="00BC4121">
        <w:rPr>
          <w:rFonts w:ascii="Arial Narrow" w:hAnsi="Arial Narrow"/>
          <w:sz w:val="22"/>
          <w:szCs w:val="22"/>
        </w:rPr>
        <w:t xml:space="preserve"> </w:t>
      </w:r>
      <w:r w:rsidRPr="00F3254F">
        <w:rPr>
          <w:rFonts w:ascii="Arial Narrow" w:hAnsi="Arial Narrow"/>
          <w:sz w:val="22"/>
          <w:szCs w:val="22"/>
        </w:rPr>
        <w:t>(</w:t>
      </w:r>
      <w:r w:rsidR="00BC4121">
        <w:rPr>
          <w:rFonts w:ascii="Arial Narrow" w:hAnsi="Arial Narrow"/>
          <w:sz w:val="22"/>
          <w:szCs w:val="22"/>
        </w:rPr>
        <w:t>veinte millones seiscientos setenta y seis mil setecientos sesenta y siete</w:t>
      </w:r>
      <w:r w:rsidR="00E33E21">
        <w:rPr>
          <w:rFonts w:ascii="Arial Narrow" w:hAnsi="Arial Narrow"/>
          <w:sz w:val="22"/>
          <w:szCs w:val="22"/>
        </w:rPr>
        <w:t xml:space="preserve"> pesos </w:t>
      </w:r>
      <w:r w:rsidR="00BC4121">
        <w:rPr>
          <w:rFonts w:ascii="Arial Narrow" w:hAnsi="Arial Narrow"/>
          <w:sz w:val="22"/>
          <w:szCs w:val="22"/>
        </w:rPr>
        <w:t>0</w:t>
      </w:r>
      <w:r w:rsidR="007E53C8">
        <w:rPr>
          <w:rFonts w:ascii="Arial Narrow" w:hAnsi="Arial Narrow"/>
          <w:sz w:val="22"/>
          <w:szCs w:val="22"/>
        </w:rPr>
        <w:t>0</w:t>
      </w:r>
      <w:r w:rsidRPr="00F3254F">
        <w:rPr>
          <w:rFonts w:ascii="Arial Narrow" w:hAnsi="Arial Narrow"/>
          <w:sz w:val="22"/>
          <w:szCs w:val="22"/>
        </w:rPr>
        <w:t>/1</w:t>
      </w:r>
      <w:r w:rsidR="00F9253D">
        <w:rPr>
          <w:rFonts w:ascii="Arial Narrow" w:hAnsi="Arial Narrow"/>
          <w:sz w:val="22"/>
          <w:szCs w:val="22"/>
        </w:rPr>
        <w:t>00 m. n.), mismo que se expone</w:t>
      </w:r>
      <w:r w:rsidRPr="00F3254F">
        <w:rPr>
          <w:rFonts w:ascii="Arial Narrow" w:hAnsi="Arial Narrow"/>
          <w:sz w:val="22"/>
          <w:szCs w:val="22"/>
        </w:rPr>
        <w:t xml:space="preserve"> posteriormente en la sección en el que se analiza este indicador dentro del ap</w:t>
      </w:r>
      <w:r w:rsidR="00F54863">
        <w:rPr>
          <w:rFonts w:ascii="Arial Narrow" w:hAnsi="Arial Narrow"/>
          <w:sz w:val="22"/>
          <w:szCs w:val="22"/>
        </w:rPr>
        <w:t>artado denominado Deuda Pública</w:t>
      </w:r>
      <w:r w:rsidR="00EF2C18">
        <w:rPr>
          <w:rFonts w:ascii="Arial Narrow" w:hAnsi="Arial Narrow"/>
          <w:sz w:val="22"/>
          <w:szCs w:val="22"/>
        </w:rPr>
        <w:t>.</w:t>
      </w:r>
    </w:p>
    <w:p w:rsidR="009B1507" w:rsidRDefault="009B1507" w:rsidP="00B801BF">
      <w:pPr>
        <w:pStyle w:val="Sangradetextonormal"/>
        <w:spacing w:line="240" w:lineRule="auto"/>
        <w:ind w:left="1066" w:firstLine="0"/>
        <w:jc w:val="center"/>
        <w:rPr>
          <w:rFonts w:ascii="Arial Narrow" w:hAnsi="Arial Narrow"/>
          <w:b/>
          <w:bCs/>
          <w:szCs w:val="28"/>
        </w:rPr>
      </w:pPr>
    </w:p>
    <w:p w:rsidR="00B83815" w:rsidRDefault="00B83815" w:rsidP="00B83815">
      <w:pPr>
        <w:pStyle w:val="Sangradetextonormal"/>
        <w:ind w:left="1068" w:firstLine="0"/>
        <w:jc w:val="center"/>
        <w:rPr>
          <w:rFonts w:ascii="Arial Narrow" w:hAnsi="Arial Narrow"/>
          <w:b/>
          <w:bCs/>
          <w:szCs w:val="28"/>
        </w:rPr>
      </w:pPr>
      <w:r w:rsidRPr="00F35C79">
        <w:rPr>
          <w:rFonts w:ascii="Arial Narrow" w:hAnsi="Arial Narrow"/>
          <w:b/>
          <w:bCs/>
          <w:szCs w:val="28"/>
        </w:rPr>
        <w:t>Resumen General</w:t>
      </w:r>
    </w:p>
    <w:p w:rsidR="008C109D" w:rsidRPr="00F35C79" w:rsidRDefault="008C109D" w:rsidP="008C109D">
      <w:pPr>
        <w:pStyle w:val="Sangradetextonormal"/>
        <w:spacing w:line="120" w:lineRule="auto"/>
        <w:ind w:left="1066" w:firstLine="0"/>
        <w:jc w:val="center"/>
        <w:rPr>
          <w:rFonts w:ascii="Arial Narrow" w:hAnsi="Arial Narrow"/>
          <w:b/>
          <w:bCs/>
          <w:szCs w:val="28"/>
        </w:rPr>
      </w:pPr>
    </w:p>
    <w:p w:rsidR="00BC4121" w:rsidRPr="00F35C79" w:rsidRDefault="00B83815" w:rsidP="00BC4121">
      <w:pPr>
        <w:pStyle w:val="Sangradetextonormal"/>
        <w:rPr>
          <w:rFonts w:ascii="Arial Narrow" w:hAnsi="Arial Narrow"/>
          <w:sz w:val="22"/>
          <w:szCs w:val="22"/>
        </w:rPr>
      </w:pPr>
      <w:r w:rsidRPr="00F35C79">
        <w:rPr>
          <w:rFonts w:ascii="Arial Narrow" w:hAnsi="Arial Narrow"/>
          <w:sz w:val="22"/>
          <w:szCs w:val="22"/>
        </w:rPr>
        <w:t>En el siguiente cuadro se presenta el panorama general de las finanzas públicas estatales, partiendo de la comparación entre los ingresos y gastos presupuestarios totales, excluyendo posteriormente los importes relativos al endeudamiento neto, así como e</w:t>
      </w:r>
      <w:r w:rsidR="001B6C92">
        <w:rPr>
          <w:rFonts w:ascii="Arial Narrow" w:hAnsi="Arial Narrow"/>
          <w:sz w:val="22"/>
          <w:szCs w:val="22"/>
        </w:rPr>
        <w:t xml:space="preserve">l pago de intereses </w:t>
      </w:r>
      <w:r w:rsidRPr="00F35C79">
        <w:rPr>
          <w:rFonts w:ascii="Arial Narrow" w:hAnsi="Arial Narrow"/>
          <w:sz w:val="22"/>
          <w:szCs w:val="22"/>
        </w:rPr>
        <w:t>de la deuda, para obtener finalmente el Balance Primario del Sector Público Presupuestario de N</w:t>
      </w:r>
      <w:r w:rsidR="001B6C92">
        <w:rPr>
          <w:rFonts w:ascii="Arial Narrow" w:hAnsi="Arial Narrow"/>
          <w:sz w:val="22"/>
          <w:szCs w:val="22"/>
        </w:rPr>
        <w:t>ayarit d</w:t>
      </w:r>
      <w:r w:rsidR="00E33E21">
        <w:rPr>
          <w:rFonts w:ascii="Arial Narrow" w:hAnsi="Arial Narrow"/>
          <w:sz w:val="22"/>
          <w:szCs w:val="22"/>
        </w:rPr>
        <w:t>el Ejercicio Fiscal 20</w:t>
      </w:r>
      <w:r w:rsidR="00BC4121">
        <w:rPr>
          <w:rFonts w:ascii="Arial Narrow" w:hAnsi="Arial Narrow"/>
          <w:sz w:val="22"/>
          <w:szCs w:val="22"/>
        </w:rPr>
        <w:t>21</w:t>
      </w:r>
      <w:r w:rsidR="00EF2C18">
        <w:rPr>
          <w:rFonts w:ascii="Arial Narrow" w:hAnsi="Arial Narrow"/>
          <w:sz w:val="22"/>
          <w:szCs w:val="22"/>
        </w:rPr>
        <w:t xml:space="preserve"> por un importe de                         </w:t>
      </w:r>
      <w:r w:rsidR="00BC4121" w:rsidRPr="00BC4121">
        <w:rPr>
          <w:rFonts w:ascii="Arial Narrow" w:hAnsi="Arial Narrow"/>
          <w:sz w:val="22"/>
          <w:szCs w:val="22"/>
        </w:rPr>
        <w:t xml:space="preserve">$1,820,749,560.29 </w:t>
      </w:r>
      <w:r w:rsidR="00BC4121" w:rsidRPr="00F35C79">
        <w:rPr>
          <w:rFonts w:ascii="Arial Narrow" w:hAnsi="Arial Narrow"/>
          <w:sz w:val="22"/>
          <w:szCs w:val="22"/>
        </w:rPr>
        <w:t>(</w:t>
      </w:r>
      <w:r w:rsidR="00BC4121">
        <w:rPr>
          <w:rFonts w:ascii="Arial Narrow" w:hAnsi="Arial Narrow"/>
          <w:sz w:val="22"/>
          <w:szCs w:val="22"/>
        </w:rPr>
        <w:t>un mil ochocientos veinte millones setecientos cuarenta y nueve mil quinientos sesenta pesos 29</w:t>
      </w:r>
      <w:r w:rsidR="00BC4121" w:rsidRPr="00F35C79">
        <w:rPr>
          <w:rFonts w:ascii="Arial Narrow" w:hAnsi="Arial Narrow"/>
          <w:sz w:val="22"/>
          <w:szCs w:val="22"/>
        </w:rPr>
        <w:t>/100 m. n.).</w:t>
      </w:r>
    </w:p>
    <w:p w:rsidR="00E33E21" w:rsidRPr="00F35C79" w:rsidRDefault="00E33E21" w:rsidP="00E33E21">
      <w:pPr>
        <w:pStyle w:val="Sangradetextonormal"/>
        <w:rPr>
          <w:rFonts w:ascii="Arial Narrow" w:hAnsi="Arial Narrow"/>
          <w:sz w:val="22"/>
          <w:szCs w:val="22"/>
        </w:rPr>
      </w:pPr>
    </w:p>
    <w:p w:rsidR="00B83815" w:rsidRPr="00DF2957" w:rsidRDefault="001804DB" w:rsidP="00B83815">
      <w:pPr>
        <w:pStyle w:val="Sangradetextonormal"/>
        <w:ind w:firstLine="708"/>
        <w:rPr>
          <w:rFonts w:ascii="Arial Narrow" w:hAnsi="Arial Narrow"/>
          <w:sz w:val="22"/>
          <w:szCs w:val="22"/>
        </w:rPr>
      </w:pPr>
      <w:r>
        <w:rPr>
          <w:rFonts w:ascii="Arial Narrow" w:hAnsi="Arial Narrow"/>
          <w:noProof/>
          <w:sz w:val="25"/>
        </w:rPr>
        <w:pict>
          <v:shape id="_x0000_s1050" type="#_x0000_t75" style="position:absolute;left:0;text-align:left;margin-left:2.6pt;margin-top:12.65pt;width:448.5pt;height:154.5pt;z-index:252033024;mso-position-horizontal-relative:text;mso-position-vertical-relative:text">
            <v:imagedata r:id="rId21" o:title=""/>
          </v:shape>
          <o:OLEObject Type="Link" ProgID="Excel.Sheet.8" ShapeID="_x0000_s1050" DrawAspect="Content" r:id="rId22" UpdateMode="Always">
            <o:LinkType>EnhancedMetaFile</o:LinkType>
            <o:LockedField>false</o:LockedField>
          </o:OLEObject>
        </w:pic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Default="00B83815" w:rsidP="00B83815">
      <w:pPr>
        <w:pStyle w:val="Sangradetextonormal"/>
        <w:rPr>
          <w:rFonts w:ascii="Arial Narrow" w:hAnsi="Arial Narrow"/>
          <w:sz w:val="25"/>
        </w:rPr>
      </w:pPr>
    </w:p>
    <w:p w:rsidR="00EF2C18" w:rsidRDefault="00EF2C18" w:rsidP="008E44AC">
      <w:pPr>
        <w:pStyle w:val="Sangradetextonormal"/>
        <w:ind w:firstLine="0"/>
        <w:rPr>
          <w:rFonts w:ascii="Arial Narrow" w:hAnsi="Arial Narrow"/>
          <w:sz w:val="25"/>
        </w:rPr>
      </w:pPr>
    </w:p>
    <w:sectPr w:rsidR="00EF2C18" w:rsidSect="0096266B">
      <w:headerReference w:type="even" r:id="rId23"/>
      <w:headerReference w:type="default" r:id="rId24"/>
      <w:footerReference w:type="even" r:id="rId25"/>
      <w:footerReference w:type="default" r:id="rId26"/>
      <w:headerReference w:type="first" r:id="rId27"/>
      <w:pgSz w:w="12240" w:h="15840" w:code="119"/>
      <w:pgMar w:top="3969" w:right="1259" w:bottom="851" w:left="1985" w:header="720" w:footer="748" w:gutter="0"/>
      <w:pgNumType w:start="6"/>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4DB" w:rsidRDefault="001804DB">
      <w:r>
        <w:separator/>
      </w:r>
    </w:p>
  </w:endnote>
  <w:endnote w:type="continuationSeparator" w:id="0">
    <w:p w:rsidR="001804DB" w:rsidRDefault="0018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altName w:val="MV Boli"/>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Univers Light Condensed">
    <w:altName w:val="Arial Narrow"/>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319" w:rsidRDefault="0001431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14319" w:rsidRDefault="0001431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319" w:rsidRDefault="00014319">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F64755">
      <w:rPr>
        <w:rStyle w:val="Nmerodepgina"/>
        <w:noProof/>
      </w:rPr>
      <w:t>9</w:t>
    </w:r>
    <w:r>
      <w:rPr>
        <w:rStyle w:val="Nmerodepgina"/>
      </w:rPr>
      <w:fldChar w:fldCharType="end"/>
    </w:r>
  </w:p>
  <w:p w:rsidR="00014319" w:rsidRDefault="00014319">
    <w:pPr>
      <w:pStyle w:val="Piedepgina"/>
      <w:framePr w:wrap="around" w:vAnchor="text" w:hAnchor="margin" w:xAlign="center" w:y="1"/>
      <w:rPr>
        <w:rStyle w:val="Nmerodepgina"/>
      </w:rPr>
    </w:pPr>
  </w:p>
  <w:p w:rsidR="00014319" w:rsidRDefault="0001431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4DB" w:rsidRDefault="001804DB">
      <w:r>
        <w:separator/>
      </w:r>
    </w:p>
  </w:footnote>
  <w:footnote w:type="continuationSeparator" w:id="0">
    <w:p w:rsidR="001804DB" w:rsidRDefault="00180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319" w:rsidRDefault="0001431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014319" w:rsidRDefault="0001431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319" w:rsidRDefault="00014319">
    <w:pPr>
      <w:pStyle w:val="Encabezado"/>
      <w:framePr w:wrap="around" w:vAnchor="text" w:hAnchor="margin" w:xAlign="right" w:y="1"/>
      <w:rPr>
        <w:rStyle w:val="Nmerodepgina"/>
      </w:rPr>
    </w:pPr>
  </w:p>
  <w:p w:rsidR="00014319" w:rsidRDefault="00014319">
    <w:pPr>
      <w:pStyle w:val="Encabezado"/>
      <w:framePr w:wrap="around" w:vAnchor="text" w:hAnchor="margin" w:xAlign="center" w:y="1"/>
      <w:ind w:right="360"/>
      <w:rPr>
        <w:rStyle w:val="Nmerodepgina"/>
      </w:rPr>
    </w:pPr>
  </w:p>
  <w:p w:rsidR="00014319" w:rsidRDefault="00014319">
    <w:pPr>
      <w:pStyle w:val="Encabezado"/>
    </w:pPr>
    <w:r>
      <w:rPr>
        <w:rFonts w:ascii="Gill Sans" w:hAnsi="Gill Sans"/>
        <w:noProof/>
        <w:lang w:val="es-MX" w:eastAsia="es-MX"/>
      </w:rPr>
      <w:drawing>
        <wp:anchor distT="0" distB="0" distL="114300" distR="114300" simplePos="0" relativeHeight="251669504" behindDoc="0" locked="0" layoutInCell="1" allowOverlap="1">
          <wp:simplePos x="0" y="0"/>
          <wp:positionH relativeFrom="column">
            <wp:posOffset>-779145</wp:posOffset>
          </wp:positionH>
          <wp:positionV relativeFrom="paragraph">
            <wp:posOffset>-199936</wp:posOffset>
          </wp:positionV>
          <wp:extent cx="5428615" cy="1590675"/>
          <wp:effectExtent l="0" t="0" r="635"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anchor>
      </w:drawing>
    </w:r>
  </w:p>
  <w:p w:rsidR="00014319" w:rsidRDefault="00014319">
    <w:pPr>
      <w:pStyle w:val="Encabezado"/>
    </w:pPr>
  </w:p>
  <w:p w:rsidR="00014319" w:rsidRDefault="00014319">
    <w:pPr>
      <w:pStyle w:val="Encabezado"/>
    </w:pPr>
  </w:p>
  <w:p w:rsidR="00014319" w:rsidRDefault="00014319">
    <w:pPr>
      <w:pStyle w:val="Encabezado"/>
    </w:pPr>
  </w:p>
  <w:p w:rsidR="00014319" w:rsidRDefault="0001431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319" w:rsidRPr="00B260DD" w:rsidRDefault="00014319">
    <w:pPr>
      <w:pStyle w:val="Encabezado"/>
      <w:rPr>
        <w:rFonts w:ascii="Gill Sans" w:hAnsi="Gill Sans"/>
        <w:lang w:val="es-MX"/>
      </w:rPr>
    </w:pPr>
    <w:r>
      <w:rPr>
        <w:rFonts w:ascii="Gill Sans" w:hAnsi="Gill Sans"/>
        <w:noProof/>
        <w:lang w:val="es-MX" w:eastAsia="es-MX"/>
      </w:rPr>
      <w:drawing>
        <wp:anchor distT="0" distB="0" distL="114300" distR="114300" simplePos="0" relativeHeight="251667456" behindDoc="0" locked="0" layoutInCell="1" allowOverlap="1">
          <wp:simplePos x="0" y="0"/>
          <wp:positionH relativeFrom="column">
            <wp:posOffset>-810099</wp:posOffset>
          </wp:positionH>
          <wp:positionV relativeFrom="paragraph">
            <wp:posOffset>-154547</wp:posOffset>
          </wp:positionV>
          <wp:extent cx="5428615" cy="1590675"/>
          <wp:effectExtent l="0" t="0" r="63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anchor>
      </w:drawing>
    </w:r>
  </w:p>
  <w:p w:rsidR="00014319" w:rsidRDefault="00014319">
    <w:pPr>
      <w:pStyle w:val="Encabezado"/>
      <w:rPr>
        <w:rFonts w:ascii="Gill Sans" w:hAnsi="Gill Sans"/>
        <w:lang w:val="es-MX"/>
      </w:rPr>
    </w:pPr>
  </w:p>
  <w:p w:rsidR="00014319" w:rsidRPr="00F077FB" w:rsidRDefault="00014319">
    <w:pPr>
      <w:pStyle w:val="Encabezado"/>
      <w:rPr>
        <w:rFonts w:ascii="Gill Sans" w:hAnsi="Gill Sans"/>
        <w:i/>
        <w:lang w:val="es-MX"/>
      </w:rPr>
    </w:pPr>
  </w:p>
  <w:p w:rsidR="00014319" w:rsidRDefault="00014319">
    <w:pPr>
      <w:pStyle w:val="Encabezado"/>
      <w:rPr>
        <w:rFonts w:ascii="Gill Sans" w:hAnsi="Gill Sans"/>
        <w:lang w:val="es-MX"/>
      </w:rPr>
    </w:pPr>
  </w:p>
  <w:p w:rsidR="00014319" w:rsidRDefault="00014319">
    <w:pPr>
      <w:pStyle w:val="Encabezado"/>
      <w:rPr>
        <w:rFonts w:ascii="Gill Sans" w:hAnsi="Gill Sans"/>
        <w:lang w:val="es-MX"/>
      </w:rPr>
    </w:pPr>
  </w:p>
  <w:p w:rsidR="00014319" w:rsidRDefault="00014319">
    <w:pPr>
      <w:pStyle w:val="Encabezado"/>
      <w:rPr>
        <w:rFonts w:ascii="Gill Sans" w:hAnsi="Gill Sans"/>
        <w:lang w:val="es-MX"/>
      </w:rPr>
    </w:pPr>
  </w:p>
  <w:p w:rsidR="00014319" w:rsidRDefault="00014319">
    <w:pPr>
      <w:pStyle w:val="Encabezado"/>
      <w:rPr>
        <w:rFonts w:ascii="Gill Sans" w:hAnsi="Gill Sans"/>
        <w:lang w:val="es-MX"/>
      </w:rPr>
    </w:pPr>
  </w:p>
  <w:p w:rsidR="00014319" w:rsidRDefault="00014319">
    <w:pPr>
      <w:pStyle w:val="Encabezado"/>
      <w:rPr>
        <w:rFonts w:ascii="Gill Sans" w:hAnsi="Gill Sans"/>
        <w:lang w:val="es-MX"/>
      </w:rPr>
    </w:pPr>
  </w:p>
  <w:p w:rsidR="00014319" w:rsidRDefault="00014319">
    <w:pPr>
      <w:pStyle w:val="Encabezado"/>
      <w:jc w:val="right"/>
      <w:rPr>
        <w:rFonts w:ascii="Univers Light Condensed" w:hAnsi="Univers Light Condensed"/>
        <w:sz w:val="24"/>
        <w:lang w:val="es-MX"/>
      </w:rPr>
    </w:pPr>
  </w:p>
  <w:p w:rsidR="00014319" w:rsidRDefault="00014319">
    <w:pPr>
      <w:pStyle w:val="Encabezado"/>
      <w:jc w:val="right"/>
      <w:rPr>
        <w:rFonts w:ascii="Univers Light Condensed" w:hAnsi="Univers Light Condensed"/>
        <w:sz w:val="24"/>
        <w:lang w:val="es-MX"/>
      </w:rPr>
    </w:pPr>
  </w:p>
  <w:p w:rsidR="00014319" w:rsidRDefault="00014319">
    <w:pPr>
      <w:pStyle w:val="Encabezado"/>
      <w:jc w:val="right"/>
      <w:rPr>
        <w:rFonts w:ascii="Univers Light Condensed" w:hAnsi="Univers Light Condensed"/>
        <w:sz w:val="24"/>
        <w:lang w:val="es-MX"/>
      </w:rPr>
    </w:pPr>
  </w:p>
  <w:p w:rsidR="00014319" w:rsidRDefault="00014319">
    <w:pPr>
      <w:pStyle w:val="Encabezado"/>
      <w:jc w:val="right"/>
      <w:rPr>
        <w:rFonts w:ascii="Univers Light Condensed" w:hAnsi="Univers Light Condensed"/>
        <w:sz w:val="24"/>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BC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06EE108C"/>
    <w:multiLevelType w:val="hybridMultilevel"/>
    <w:tmpl w:val="05C2653E"/>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nsid w:val="126D1E23"/>
    <w:multiLevelType w:val="hybridMultilevel"/>
    <w:tmpl w:val="B05640C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14BD48C4"/>
    <w:multiLevelType w:val="hybridMultilevel"/>
    <w:tmpl w:val="9EB87C5C"/>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4">
    <w:nsid w:val="16E15943"/>
    <w:multiLevelType w:val="hybridMultilevel"/>
    <w:tmpl w:val="4B78BBCA"/>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5">
    <w:nsid w:val="184F4707"/>
    <w:multiLevelType w:val="hybridMultilevel"/>
    <w:tmpl w:val="2724EFE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AF021B3"/>
    <w:multiLevelType w:val="hybridMultilevel"/>
    <w:tmpl w:val="EAC2AF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1E7B79C8"/>
    <w:multiLevelType w:val="hybridMultilevel"/>
    <w:tmpl w:val="8E98E2DC"/>
    <w:lvl w:ilvl="0" w:tplc="1B0AD72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23BD3C6C"/>
    <w:multiLevelType w:val="hybridMultilevel"/>
    <w:tmpl w:val="56FA1A4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nsid w:val="23BF7DF1"/>
    <w:multiLevelType w:val="hybridMultilevel"/>
    <w:tmpl w:val="A594A0B8"/>
    <w:lvl w:ilvl="0" w:tplc="080A0001">
      <w:start w:val="1"/>
      <w:numFmt w:val="bullet"/>
      <w:lvlText w:val=""/>
      <w:lvlJc w:val="left"/>
      <w:pPr>
        <w:ind w:left="1596" w:hanging="360"/>
      </w:pPr>
      <w:rPr>
        <w:rFonts w:ascii="Symbol" w:hAnsi="Symbol" w:hint="default"/>
      </w:rPr>
    </w:lvl>
    <w:lvl w:ilvl="1" w:tplc="080A0003" w:tentative="1">
      <w:start w:val="1"/>
      <w:numFmt w:val="bullet"/>
      <w:lvlText w:val="o"/>
      <w:lvlJc w:val="left"/>
      <w:pPr>
        <w:ind w:left="2316" w:hanging="360"/>
      </w:pPr>
      <w:rPr>
        <w:rFonts w:ascii="Courier New" w:hAnsi="Courier New" w:cs="Courier New" w:hint="default"/>
      </w:rPr>
    </w:lvl>
    <w:lvl w:ilvl="2" w:tplc="080A0005" w:tentative="1">
      <w:start w:val="1"/>
      <w:numFmt w:val="bullet"/>
      <w:lvlText w:val=""/>
      <w:lvlJc w:val="left"/>
      <w:pPr>
        <w:ind w:left="3036" w:hanging="360"/>
      </w:pPr>
      <w:rPr>
        <w:rFonts w:ascii="Wingdings" w:hAnsi="Wingdings" w:hint="default"/>
      </w:rPr>
    </w:lvl>
    <w:lvl w:ilvl="3" w:tplc="080A0001" w:tentative="1">
      <w:start w:val="1"/>
      <w:numFmt w:val="bullet"/>
      <w:lvlText w:val=""/>
      <w:lvlJc w:val="left"/>
      <w:pPr>
        <w:ind w:left="3756" w:hanging="360"/>
      </w:pPr>
      <w:rPr>
        <w:rFonts w:ascii="Symbol" w:hAnsi="Symbol" w:hint="default"/>
      </w:rPr>
    </w:lvl>
    <w:lvl w:ilvl="4" w:tplc="080A0003" w:tentative="1">
      <w:start w:val="1"/>
      <w:numFmt w:val="bullet"/>
      <w:lvlText w:val="o"/>
      <w:lvlJc w:val="left"/>
      <w:pPr>
        <w:ind w:left="4476" w:hanging="360"/>
      </w:pPr>
      <w:rPr>
        <w:rFonts w:ascii="Courier New" w:hAnsi="Courier New" w:cs="Courier New" w:hint="default"/>
      </w:rPr>
    </w:lvl>
    <w:lvl w:ilvl="5" w:tplc="080A0005" w:tentative="1">
      <w:start w:val="1"/>
      <w:numFmt w:val="bullet"/>
      <w:lvlText w:val=""/>
      <w:lvlJc w:val="left"/>
      <w:pPr>
        <w:ind w:left="5196" w:hanging="360"/>
      </w:pPr>
      <w:rPr>
        <w:rFonts w:ascii="Wingdings" w:hAnsi="Wingdings" w:hint="default"/>
      </w:rPr>
    </w:lvl>
    <w:lvl w:ilvl="6" w:tplc="080A0001" w:tentative="1">
      <w:start w:val="1"/>
      <w:numFmt w:val="bullet"/>
      <w:lvlText w:val=""/>
      <w:lvlJc w:val="left"/>
      <w:pPr>
        <w:ind w:left="5916" w:hanging="360"/>
      </w:pPr>
      <w:rPr>
        <w:rFonts w:ascii="Symbol" w:hAnsi="Symbol" w:hint="default"/>
      </w:rPr>
    </w:lvl>
    <w:lvl w:ilvl="7" w:tplc="080A0003" w:tentative="1">
      <w:start w:val="1"/>
      <w:numFmt w:val="bullet"/>
      <w:lvlText w:val="o"/>
      <w:lvlJc w:val="left"/>
      <w:pPr>
        <w:ind w:left="6636" w:hanging="360"/>
      </w:pPr>
      <w:rPr>
        <w:rFonts w:ascii="Courier New" w:hAnsi="Courier New" w:cs="Courier New" w:hint="default"/>
      </w:rPr>
    </w:lvl>
    <w:lvl w:ilvl="8" w:tplc="080A0005" w:tentative="1">
      <w:start w:val="1"/>
      <w:numFmt w:val="bullet"/>
      <w:lvlText w:val=""/>
      <w:lvlJc w:val="left"/>
      <w:pPr>
        <w:ind w:left="7356" w:hanging="360"/>
      </w:pPr>
      <w:rPr>
        <w:rFonts w:ascii="Wingdings" w:hAnsi="Wingdings" w:hint="default"/>
      </w:rPr>
    </w:lvl>
  </w:abstractNum>
  <w:abstractNum w:abstractNumId="11">
    <w:nsid w:val="25B54149"/>
    <w:multiLevelType w:val="hybridMultilevel"/>
    <w:tmpl w:val="84D0B1E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2D652D88"/>
    <w:multiLevelType w:val="hybridMultilevel"/>
    <w:tmpl w:val="EBB2BA80"/>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3">
    <w:nsid w:val="35A25800"/>
    <w:multiLevelType w:val="hybridMultilevel"/>
    <w:tmpl w:val="A13AC51C"/>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3BAC7748"/>
    <w:multiLevelType w:val="hybridMultilevel"/>
    <w:tmpl w:val="9698B6E4"/>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5">
    <w:nsid w:val="40C32AFC"/>
    <w:multiLevelType w:val="hybridMultilevel"/>
    <w:tmpl w:val="5D1C898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0E602B4"/>
    <w:multiLevelType w:val="hybridMultilevel"/>
    <w:tmpl w:val="B35EA3EC"/>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1132F16"/>
    <w:multiLevelType w:val="hybridMultilevel"/>
    <w:tmpl w:val="A4D03AA2"/>
    <w:lvl w:ilvl="0" w:tplc="F4ECB6E2">
      <w:start w:val="3"/>
      <w:numFmt w:val="bullet"/>
      <w:lvlText w:val=""/>
      <w:lvlJc w:val="left"/>
      <w:pPr>
        <w:ind w:left="1069" w:hanging="360"/>
      </w:pPr>
      <w:rPr>
        <w:rFonts w:ascii="Symbol" w:eastAsia="Times New Roman" w:hAnsi="Symbol"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8">
    <w:nsid w:val="42F2058C"/>
    <w:multiLevelType w:val="hybridMultilevel"/>
    <w:tmpl w:val="1DC8F38E"/>
    <w:lvl w:ilvl="0" w:tplc="080A0001">
      <w:start w:val="1"/>
      <w:numFmt w:val="bullet"/>
      <w:lvlText w:val=""/>
      <w:lvlJc w:val="left"/>
      <w:pPr>
        <w:ind w:left="1596" w:hanging="360"/>
      </w:pPr>
      <w:rPr>
        <w:rFonts w:ascii="Symbol" w:hAnsi="Symbol" w:hint="default"/>
      </w:rPr>
    </w:lvl>
    <w:lvl w:ilvl="1" w:tplc="080A0003" w:tentative="1">
      <w:start w:val="1"/>
      <w:numFmt w:val="bullet"/>
      <w:lvlText w:val="o"/>
      <w:lvlJc w:val="left"/>
      <w:pPr>
        <w:ind w:left="2316" w:hanging="360"/>
      </w:pPr>
      <w:rPr>
        <w:rFonts w:ascii="Courier New" w:hAnsi="Courier New" w:cs="Courier New" w:hint="default"/>
      </w:rPr>
    </w:lvl>
    <w:lvl w:ilvl="2" w:tplc="080A0005" w:tentative="1">
      <w:start w:val="1"/>
      <w:numFmt w:val="bullet"/>
      <w:lvlText w:val=""/>
      <w:lvlJc w:val="left"/>
      <w:pPr>
        <w:ind w:left="3036" w:hanging="360"/>
      </w:pPr>
      <w:rPr>
        <w:rFonts w:ascii="Wingdings" w:hAnsi="Wingdings" w:hint="default"/>
      </w:rPr>
    </w:lvl>
    <w:lvl w:ilvl="3" w:tplc="080A0001" w:tentative="1">
      <w:start w:val="1"/>
      <w:numFmt w:val="bullet"/>
      <w:lvlText w:val=""/>
      <w:lvlJc w:val="left"/>
      <w:pPr>
        <w:ind w:left="3756" w:hanging="360"/>
      </w:pPr>
      <w:rPr>
        <w:rFonts w:ascii="Symbol" w:hAnsi="Symbol" w:hint="default"/>
      </w:rPr>
    </w:lvl>
    <w:lvl w:ilvl="4" w:tplc="080A0003" w:tentative="1">
      <w:start w:val="1"/>
      <w:numFmt w:val="bullet"/>
      <w:lvlText w:val="o"/>
      <w:lvlJc w:val="left"/>
      <w:pPr>
        <w:ind w:left="4476" w:hanging="360"/>
      </w:pPr>
      <w:rPr>
        <w:rFonts w:ascii="Courier New" w:hAnsi="Courier New" w:cs="Courier New" w:hint="default"/>
      </w:rPr>
    </w:lvl>
    <w:lvl w:ilvl="5" w:tplc="080A0005" w:tentative="1">
      <w:start w:val="1"/>
      <w:numFmt w:val="bullet"/>
      <w:lvlText w:val=""/>
      <w:lvlJc w:val="left"/>
      <w:pPr>
        <w:ind w:left="5196" w:hanging="360"/>
      </w:pPr>
      <w:rPr>
        <w:rFonts w:ascii="Wingdings" w:hAnsi="Wingdings" w:hint="default"/>
      </w:rPr>
    </w:lvl>
    <w:lvl w:ilvl="6" w:tplc="080A0001" w:tentative="1">
      <w:start w:val="1"/>
      <w:numFmt w:val="bullet"/>
      <w:lvlText w:val=""/>
      <w:lvlJc w:val="left"/>
      <w:pPr>
        <w:ind w:left="5916" w:hanging="360"/>
      </w:pPr>
      <w:rPr>
        <w:rFonts w:ascii="Symbol" w:hAnsi="Symbol" w:hint="default"/>
      </w:rPr>
    </w:lvl>
    <w:lvl w:ilvl="7" w:tplc="080A0003" w:tentative="1">
      <w:start w:val="1"/>
      <w:numFmt w:val="bullet"/>
      <w:lvlText w:val="o"/>
      <w:lvlJc w:val="left"/>
      <w:pPr>
        <w:ind w:left="6636" w:hanging="360"/>
      </w:pPr>
      <w:rPr>
        <w:rFonts w:ascii="Courier New" w:hAnsi="Courier New" w:cs="Courier New" w:hint="default"/>
      </w:rPr>
    </w:lvl>
    <w:lvl w:ilvl="8" w:tplc="080A0005" w:tentative="1">
      <w:start w:val="1"/>
      <w:numFmt w:val="bullet"/>
      <w:lvlText w:val=""/>
      <w:lvlJc w:val="left"/>
      <w:pPr>
        <w:ind w:left="7356" w:hanging="360"/>
      </w:pPr>
      <w:rPr>
        <w:rFonts w:ascii="Wingdings" w:hAnsi="Wingdings" w:hint="default"/>
      </w:rPr>
    </w:lvl>
  </w:abstractNum>
  <w:abstractNum w:abstractNumId="19">
    <w:nsid w:val="44E71322"/>
    <w:multiLevelType w:val="hybridMultilevel"/>
    <w:tmpl w:val="2786B946"/>
    <w:lvl w:ilvl="0" w:tplc="5A9C811A">
      <w:start w:val="3"/>
      <w:numFmt w:val="bullet"/>
      <w:lvlText w:val=""/>
      <w:lvlJc w:val="left"/>
      <w:pPr>
        <w:ind w:left="1069" w:hanging="360"/>
      </w:pPr>
      <w:rPr>
        <w:rFonts w:ascii="Symbol" w:eastAsia="Times New Roman" w:hAnsi="Symbol"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0">
    <w:nsid w:val="4B1D68D7"/>
    <w:multiLevelType w:val="hybridMultilevel"/>
    <w:tmpl w:val="B4968B5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B233650"/>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nsid w:val="4D672E24"/>
    <w:multiLevelType w:val="hybridMultilevel"/>
    <w:tmpl w:val="D5AA9BDC"/>
    <w:lvl w:ilvl="0" w:tplc="7382B07A">
      <w:start w:val="3"/>
      <w:numFmt w:val="bullet"/>
      <w:lvlText w:val=""/>
      <w:lvlJc w:val="left"/>
      <w:pPr>
        <w:ind w:left="1429" w:hanging="360"/>
      </w:pPr>
      <w:rPr>
        <w:rFonts w:ascii="Symbol" w:eastAsia="Times New Roman" w:hAnsi="Symbol"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3">
    <w:nsid w:val="4D7135FB"/>
    <w:multiLevelType w:val="hybridMultilevel"/>
    <w:tmpl w:val="650C06FC"/>
    <w:lvl w:ilvl="0" w:tplc="080A001B">
      <w:start w:val="1"/>
      <w:numFmt w:val="lowerRoman"/>
      <w:lvlText w:val="%1."/>
      <w:lvlJc w:val="righ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nsid w:val="4DF32DA0"/>
    <w:multiLevelType w:val="hybridMultilevel"/>
    <w:tmpl w:val="B882FB5E"/>
    <w:lvl w:ilvl="0" w:tplc="0C0A001B">
      <w:start w:val="1"/>
      <w:numFmt w:val="lowerRoman"/>
      <w:lvlText w:val="%1."/>
      <w:lvlJc w:val="righ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5">
    <w:nsid w:val="4E3E6C22"/>
    <w:multiLevelType w:val="hybridMultilevel"/>
    <w:tmpl w:val="4EC4184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2F71F84"/>
    <w:multiLevelType w:val="hybridMultilevel"/>
    <w:tmpl w:val="A4502586"/>
    <w:lvl w:ilvl="0" w:tplc="C1927F7A">
      <w:start w:val="1"/>
      <w:numFmt w:val="bullet"/>
      <w:lvlText w:val=""/>
      <w:lvlJc w:val="left"/>
      <w:pPr>
        <w:tabs>
          <w:tab w:val="num" w:pos="2193"/>
        </w:tabs>
        <w:ind w:left="2193"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27">
    <w:nsid w:val="55014D2F"/>
    <w:multiLevelType w:val="hybridMultilevel"/>
    <w:tmpl w:val="87F06122"/>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8200FAA"/>
    <w:multiLevelType w:val="hybridMultilevel"/>
    <w:tmpl w:val="38F8030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29">
    <w:nsid w:val="589E7D41"/>
    <w:multiLevelType w:val="hybridMultilevel"/>
    <w:tmpl w:val="DEC2448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nsid w:val="59322EDD"/>
    <w:multiLevelType w:val="hybridMultilevel"/>
    <w:tmpl w:val="04325622"/>
    <w:lvl w:ilvl="0" w:tplc="1ABA9A50">
      <w:start w:val="1"/>
      <w:numFmt w:val="upperRoman"/>
      <w:lvlText w:val="%1."/>
      <w:lvlJc w:val="left"/>
      <w:pPr>
        <w:tabs>
          <w:tab w:val="num" w:pos="1080"/>
        </w:tabs>
        <w:ind w:left="1080" w:hanging="720"/>
      </w:pPr>
      <w:rPr>
        <w:rFonts w:hint="default"/>
      </w:rPr>
    </w:lvl>
    <w:lvl w:ilvl="1" w:tplc="C1927F7A">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BB16C6F"/>
    <w:multiLevelType w:val="hybridMultilevel"/>
    <w:tmpl w:val="45C2B684"/>
    <w:lvl w:ilvl="0" w:tplc="C1927F7A">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nsid w:val="5E7B58AF"/>
    <w:multiLevelType w:val="hybridMultilevel"/>
    <w:tmpl w:val="0CD0F97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3">
    <w:nsid w:val="619E37B2"/>
    <w:multiLevelType w:val="hybridMultilevel"/>
    <w:tmpl w:val="E5BA90FE"/>
    <w:lvl w:ilvl="0" w:tplc="C1927F7A">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35460F2"/>
    <w:multiLevelType w:val="hybridMultilevel"/>
    <w:tmpl w:val="23F6DA9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5">
    <w:nsid w:val="644A44A9"/>
    <w:multiLevelType w:val="hybridMultilevel"/>
    <w:tmpl w:val="A9FEE9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6">
    <w:nsid w:val="64765795"/>
    <w:multiLevelType w:val="hybridMultilevel"/>
    <w:tmpl w:val="76B22ADA"/>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nsid w:val="6E521EF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nsid w:val="6F4444FD"/>
    <w:multiLevelType w:val="hybridMultilevel"/>
    <w:tmpl w:val="DDEA179C"/>
    <w:lvl w:ilvl="0" w:tplc="080A0001">
      <w:start w:val="1"/>
      <w:numFmt w:val="bullet"/>
      <w:lvlText w:val=""/>
      <w:lvlJc w:val="left"/>
      <w:pPr>
        <w:ind w:left="1596" w:hanging="360"/>
      </w:pPr>
      <w:rPr>
        <w:rFonts w:ascii="Symbol" w:hAnsi="Symbol" w:hint="default"/>
      </w:rPr>
    </w:lvl>
    <w:lvl w:ilvl="1" w:tplc="080A0003" w:tentative="1">
      <w:start w:val="1"/>
      <w:numFmt w:val="bullet"/>
      <w:lvlText w:val="o"/>
      <w:lvlJc w:val="left"/>
      <w:pPr>
        <w:ind w:left="2316" w:hanging="360"/>
      </w:pPr>
      <w:rPr>
        <w:rFonts w:ascii="Courier New" w:hAnsi="Courier New" w:cs="Courier New" w:hint="default"/>
      </w:rPr>
    </w:lvl>
    <w:lvl w:ilvl="2" w:tplc="080A0005" w:tentative="1">
      <w:start w:val="1"/>
      <w:numFmt w:val="bullet"/>
      <w:lvlText w:val=""/>
      <w:lvlJc w:val="left"/>
      <w:pPr>
        <w:ind w:left="3036" w:hanging="360"/>
      </w:pPr>
      <w:rPr>
        <w:rFonts w:ascii="Wingdings" w:hAnsi="Wingdings" w:hint="default"/>
      </w:rPr>
    </w:lvl>
    <w:lvl w:ilvl="3" w:tplc="080A0001" w:tentative="1">
      <w:start w:val="1"/>
      <w:numFmt w:val="bullet"/>
      <w:lvlText w:val=""/>
      <w:lvlJc w:val="left"/>
      <w:pPr>
        <w:ind w:left="3756" w:hanging="360"/>
      </w:pPr>
      <w:rPr>
        <w:rFonts w:ascii="Symbol" w:hAnsi="Symbol" w:hint="default"/>
      </w:rPr>
    </w:lvl>
    <w:lvl w:ilvl="4" w:tplc="080A0003" w:tentative="1">
      <w:start w:val="1"/>
      <w:numFmt w:val="bullet"/>
      <w:lvlText w:val="o"/>
      <w:lvlJc w:val="left"/>
      <w:pPr>
        <w:ind w:left="4476" w:hanging="360"/>
      </w:pPr>
      <w:rPr>
        <w:rFonts w:ascii="Courier New" w:hAnsi="Courier New" w:cs="Courier New" w:hint="default"/>
      </w:rPr>
    </w:lvl>
    <w:lvl w:ilvl="5" w:tplc="080A0005" w:tentative="1">
      <w:start w:val="1"/>
      <w:numFmt w:val="bullet"/>
      <w:lvlText w:val=""/>
      <w:lvlJc w:val="left"/>
      <w:pPr>
        <w:ind w:left="5196" w:hanging="360"/>
      </w:pPr>
      <w:rPr>
        <w:rFonts w:ascii="Wingdings" w:hAnsi="Wingdings" w:hint="default"/>
      </w:rPr>
    </w:lvl>
    <w:lvl w:ilvl="6" w:tplc="080A0001" w:tentative="1">
      <w:start w:val="1"/>
      <w:numFmt w:val="bullet"/>
      <w:lvlText w:val=""/>
      <w:lvlJc w:val="left"/>
      <w:pPr>
        <w:ind w:left="5916" w:hanging="360"/>
      </w:pPr>
      <w:rPr>
        <w:rFonts w:ascii="Symbol" w:hAnsi="Symbol" w:hint="default"/>
      </w:rPr>
    </w:lvl>
    <w:lvl w:ilvl="7" w:tplc="080A0003" w:tentative="1">
      <w:start w:val="1"/>
      <w:numFmt w:val="bullet"/>
      <w:lvlText w:val="o"/>
      <w:lvlJc w:val="left"/>
      <w:pPr>
        <w:ind w:left="6636" w:hanging="360"/>
      </w:pPr>
      <w:rPr>
        <w:rFonts w:ascii="Courier New" w:hAnsi="Courier New" w:cs="Courier New" w:hint="default"/>
      </w:rPr>
    </w:lvl>
    <w:lvl w:ilvl="8" w:tplc="080A0005" w:tentative="1">
      <w:start w:val="1"/>
      <w:numFmt w:val="bullet"/>
      <w:lvlText w:val=""/>
      <w:lvlJc w:val="left"/>
      <w:pPr>
        <w:ind w:left="7356" w:hanging="360"/>
      </w:pPr>
      <w:rPr>
        <w:rFonts w:ascii="Wingdings" w:hAnsi="Wingdings" w:hint="default"/>
      </w:rPr>
    </w:lvl>
  </w:abstractNum>
  <w:abstractNum w:abstractNumId="40">
    <w:nsid w:val="70E67528"/>
    <w:multiLevelType w:val="hybridMultilevel"/>
    <w:tmpl w:val="A91292B6"/>
    <w:lvl w:ilvl="0" w:tplc="62F49B8A">
      <w:start w:val="1"/>
      <w:numFmt w:val="upp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9F325F9"/>
    <w:multiLevelType w:val="hybridMultilevel"/>
    <w:tmpl w:val="0660F3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8"/>
  </w:num>
  <w:num w:numId="2">
    <w:abstractNumId w:val="4"/>
  </w:num>
  <w:num w:numId="3">
    <w:abstractNumId w:val="26"/>
  </w:num>
  <w:num w:numId="4">
    <w:abstractNumId w:val="1"/>
  </w:num>
  <w:num w:numId="5">
    <w:abstractNumId w:val="31"/>
  </w:num>
  <w:num w:numId="6">
    <w:abstractNumId w:val="29"/>
  </w:num>
  <w:num w:numId="7">
    <w:abstractNumId w:val="36"/>
  </w:num>
  <w:num w:numId="8">
    <w:abstractNumId w:val="15"/>
  </w:num>
  <w:num w:numId="9">
    <w:abstractNumId w:val="25"/>
  </w:num>
  <w:num w:numId="10">
    <w:abstractNumId w:val="5"/>
  </w:num>
  <w:num w:numId="11">
    <w:abstractNumId w:val="27"/>
  </w:num>
  <w:num w:numId="12">
    <w:abstractNumId w:val="16"/>
  </w:num>
  <w:num w:numId="13">
    <w:abstractNumId w:val="30"/>
  </w:num>
  <w:num w:numId="14">
    <w:abstractNumId w:val="37"/>
  </w:num>
  <w:num w:numId="15">
    <w:abstractNumId w:val="40"/>
  </w:num>
  <w:num w:numId="16">
    <w:abstractNumId w:val="20"/>
  </w:num>
  <w:num w:numId="17">
    <w:abstractNumId w:val="33"/>
  </w:num>
  <w:num w:numId="18">
    <w:abstractNumId w:val="24"/>
  </w:num>
  <w:num w:numId="19">
    <w:abstractNumId w:val="41"/>
  </w:num>
  <w:num w:numId="20">
    <w:abstractNumId w:val="28"/>
  </w:num>
  <w:num w:numId="21">
    <w:abstractNumId w:val="38"/>
  </w:num>
  <w:num w:numId="22">
    <w:abstractNumId w:val="21"/>
  </w:num>
  <w:num w:numId="23">
    <w:abstractNumId w:val="7"/>
  </w:num>
  <w:num w:numId="24">
    <w:abstractNumId w:val="6"/>
  </w:num>
  <w:num w:numId="25">
    <w:abstractNumId w:val="0"/>
  </w:num>
  <w:num w:numId="26">
    <w:abstractNumId w:val="32"/>
  </w:num>
  <w:num w:numId="27">
    <w:abstractNumId w:val="10"/>
  </w:num>
  <w:num w:numId="28">
    <w:abstractNumId w:val="9"/>
  </w:num>
  <w:num w:numId="29">
    <w:abstractNumId w:val="19"/>
  </w:num>
  <w:num w:numId="30">
    <w:abstractNumId w:val="17"/>
  </w:num>
  <w:num w:numId="31">
    <w:abstractNumId w:val="22"/>
  </w:num>
  <w:num w:numId="32">
    <w:abstractNumId w:val="35"/>
  </w:num>
  <w:num w:numId="33">
    <w:abstractNumId w:val="3"/>
  </w:num>
  <w:num w:numId="34">
    <w:abstractNumId w:val="34"/>
  </w:num>
  <w:num w:numId="35">
    <w:abstractNumId w:val="13"/>
  </w:num>
  <w:num w:numId="36">
    <w:abstractNumId w:val="12"/>
  </w:num>
  <w:num w:numId="37">
    <w:abstractNumId w:val="18"/>
  </w:num>
  <w:num w:numId="38">
    <w:abstractNumId w:val="39"/>
  </w:num>
  <w:num w:numId="39">
    <w:abstractNumId w:val="23"/>
  </w:num>
  <w:num w:numId="40">
    <w:abstractNumId w:val="14"/>
  </w:num>
  <w:num w:numId="41">
    <w:abstractNumId w:val="2"/>
  </w:num>
  <w:num w:numId="4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5A3A"/>
    <w:rsid w:val="0000034B"/>
    <w:rsid w:val="000010EB"/>
    <w:rsid w:val="00001295"/>
    <w:rsid w:val="00001AD9"/>
    <w:rsid w:val="0000228A"/>
    <w:rsid w:val="00002309"/>
    <w:rsid w:val="0000235B"/>
    <w:rsid w:val="000023A9"/>
    <w:rsid w:val="00002949"/>
    <w:rsid w:val="00002DD9"/>
    <w:rsid w:val="00003709"/>
    <w:rsid w:val="00003E78"/>
    <w:rsid w:val="000043D0"/>
    <w:rsid w:val="000043F9"/>
    <w:rsid w:val="00004D91"/>
    <w:rsid w:val="00004E9B"/>
    <w:rsid w:val="000052FF"/>
    <w:rsid w:val="00005A26"/>
    <w:rsid w:val="000064E6"/>
    <w:rsid w:val="000067A0"/>
    <w:rsid w:val="000101A9"/>
    <w:rsid w:val="0001148D"/>
    <w:rsid w:val="0001183F"/>
    <w:rsid w:val="000119EC"/>
    <w:rsid w:val="0001204A"/>
    <w:rsid w:val="000127AE"/>
    <w:rsid w:val="00012BB9"/>
    <w:rsid w:val="00012DE0"/>
    <w:rsid w:val="00013307"/>
    <w:rsid w:val="00013924"/>
    <w:rsid w:val="00013986"/>
    <w:rsid w:val="00014319"/>
    <w:rsid w:val="0001433D"/>
    <w:rsid w:val="00014397"/>
    <w:rsid w:val="00014464"/>
    <w:rsid w:val="00016386"/>
    <w:rsid w:val="00017319"/>
    <w:rsid w:val="00017698"/>
    <w:rsid w:val="00017E66"/>
    <w:rsid w:val="00020534"/>
    <w:rsid w:val="00020587"/>
    <w:rsid w:val="00020B13"/>
    <w:rsid w:val="000212BA"/>
    <w:rsid w:val="00022424"/>
    <w:rsid w:val="000225C7"/>
    <w:rsid w:val="00024AA1"/>
    <w:rsid w:val="00024B48"/>
    <w:rsid w:val="00025106"/>
    <w:rsid w:val="00025641"/>
    <w:rsid w:val="00025C91"/>
    <w:rsid w:val="00026883"/>
    <w:rsid w:val="000272D1"/>
    <w:rsid w:val="0002751E"/>
    <w:rsid w:val="00027684"/>
    <w:rsid w:val="00027BC1"/>
    <w:rsid w:val="00027BDD"/>
    <w:rsid w:val="00027D4E"/>
    <w:rsid w:val="00027E6B"/>
    <w:rsid w:val="00030468"/>
    <w:rsid w:val="00030C8F"/>
    <w:rsid w:val="00031473"/>
    <w:rsid w:val="0003184C"/>
    <w:rsid w:val="00032A18"/>
    <w:rsid w:val="00032DC5"/>
    <w:rsid w:val="00032E5B"/>
    <w:rsid w:val="00033753"/>
    <w:rsid w:val="00033D64"/>
    <w:rsid w:val="000341B6"/>
    <w:rsid w:val="0003441F"/>
    <w:rsid w:val="00034609"/>
    <w:rsid w:val="00035131"/>
    <w:rsid w:val="00035197"/>
    <w:rsid w:val="000364FB"/>
    <w:rsid w:val="000373CF"/>
    <w:rsid w:val="000379A8"/>
    <w:rsid w:val="00037B70"/>
    <w:rsid w:val="000404E9"/>
    <w:rsid w:val="00040CC3"/>
    <w:rsid w:val="00040CFB"/>
    <w:rsid w:val="00040D08"/>
    <w:rsid w:val="000411C4"/>
    <w:rsid w:val="000412C7"/>
    <w:rsid w:val="00042489"/>
    <w:rsid w:val="00042DDF"/>
    <w:rsid w:val="00042E73"/>
    <w:rsid w:val="000433A3"/>
    <w:rsid w:val="00043A5B"/>
    <w:rsid w:val="00043AFB"/>
    <w:rsid w:val="00043C2F"/>
    <w:rsid w:val="0004465A"/>
    <w:rsid w:val="000448B3"/>
    <w:rsid w:val="00044EE0"/>
    <w:rsid w:val="00046892"/>
    <w:rsid w:val="00046B35"/>
    <w:rsid w:val="00046FD7"/>
    <w:rsid w:val="00047396"/>
    <w:rsid w:val="00050488"/>
    <w:rsid w:val="00050E4F"/>
    <w:rsid w:val="0005135E"/>
    <w:rsid w:val="000515CB"/>
    <w:rsid w:val="00051649"/>
    <w:rsid w:val="00051901"/>
    <w:rsid w:val="00051D6D"/>
    <w:rsid w:val="000520C5"/>
    <w:rsid w:val="00052101"/>
    <w:rsid w:val="00052236"/>
    <w:rsid w:val="000523BC"/>
    <w:rsid w:val="00053209"/>
    <w:rsid w:val="0005331A"/>
    <w:rsid w:val="0005332B"/>
    <w:rsid w:val="0005366C"/>
    <w:rsid w:val="000537B9"/>
    <w:rsid w:val="00053B83"/>
    <w:rsid w:val="00054E38"/>
    <w:rsid w:val="00055088"/>
    <w:rsid w:val="00055104"/>
    <w:rsid w:val="0005574D"/>
    <w:rsid w:val="000557CF"/>
    <w:rsid w:val="00055F74"/>
    <w:rsid w:val="000560A9"/>
    <w:rsid w:val="00056C79"/>
    <w:rsid w:val="00056D25"/>
    <w:rsid w:val="000577A8"/>
    <w:rsid w:val="00057D14"/>
    <w:rsid w:val="00060CA4"/>
    <w:rsid w:val="00060F74"/>
    <w:rsid w:val="00061B35"/>
    <w:rsid w:val="00062464"/>
    <w:rsid w:val="000631CF"/>
    <w:rsid w:val="00063A1B"/>
    <w:rsid w:val="00063CD2"/>
    <w:rsid w:val="000647BA"/>
    <w:rsid w:val="00065017"/>
    <w:rsid w:val="000651F1"/>
    <w:rsid w:val="000653AD"/>
    <w:rsid w:val="00065473"/>
    <w:rsid w:val="00066003"/>
    <w:rsid w:val="00066822"/>
    <w:rsid w:val="00067442"/>
    <w:rsid w:val="00070318"/>
    <w:rsid w:val="0007066D"/>
    <w:rsid w:val="00070D22"/>
    <w:rsid w:val="00071611"/>
    <w:rsid w:val="00071799"/>
    <w:rsid w:val="00071F92"/>
    <w:rsid w:val="0007233A"/>
    <w:rsid w:val="000727F1"/>
    <w:rsid w:val="000729F5"/>
    <w:rsid w:val="00072D20"/>
    <w:rsid w:val="00073062"/>
    <w:rsid w:val="000748E5"/>
    <w:rsid w:val="00074F7F"/>
    <w:rsid w:val="00075596"/>
    <w:rsid w:val="00075E40"/>
    <w:rsid w:val="00077D59"/>
    <w:rsid w:val="00080748"/>
    <w:rsid w:val="00080B1C"/>
    <w:rsid w:val="00080FE2"/>
    <w:rsid w:val="000812E8"/>
    <w:rsid w:val="0008188B"/>
    <w:rsid w:val="0008338E"/>
    <w:rsid w:val="000833E2"/>
    <w:rsid w:val="000842E8"/>
    <w:rsid w:val="0008455B"/>
    <w:rsid w:val="000849DD"/>
    <w:rsid w:val="00085F3D"/>
    <w:rsid w:val="000862E0"/>
    <w:rsid w:val="000862EF"/>
    <w:rsid w:val="00086AEC"/>
    <w:rsid w:val="00086EBE"/>
    <w:rsid w:val="0008740C"/>
    <w:rsid w:val="000874C5"/>
    <w:rsid w:val="00087DE5"/>
    <w:rsid w:val="00087F4A"/>
    <w:rsid w:val="000903C7"/>
    <w:rsid w:val="0009054C"/>
    <w:rsid w:val="00090595"/>
    <w:rsid w:val="000907E7"/>
    <w:rsid w:val="00090AE7"/>
    <w:rsid w:val="00090F95"/>
    <w:rsid w:val="00091BF1"/>
    <w:rsid w:val="00091EDA"/>
    <w:rsid w:val="000923CC"/>
    <w:rsid w:val="00092A01"/>
    <w:rsid w:val="00092AFC"/>
    <w:rsid w:val="00092BEF"/>
    <w:rsid w:val="0009314A"/>
    <w:rsid w:val="0009336A"/>
    <w:rsid w:val="00093CD1"/>
    <w:rsid w:val="0009498A"/>
    <w:rsid w:val="00094C6C"/>
    <w:rsid w:val="00095B0A"/>
    <w:rsid w:val="00096055"/>
    <w:rsid w:val="000960E1"/>
    <w:rsid w:val="0009710F"/>
    <w:rsid w:val="000977F7"/>
    <w:rsid w:val="00097952"/>
    <w:rsid w:val="000A0B56"/>
    <w:rsid w:val="000A1217"/>
    <w:rsid w:val="000A16F2"/>
    <w:rsid w:val="000A1E7C"/>
    <w:rsid w:val="000A1F9A"/>
    <w:rsid w:val="000A2120"/>
    <w:rsid w:val="000A218F"/>
    <w:rsid w:val="000A2769"/>
    <w:rsid w:val="000A31A4"/>
    <w:rsid w:val="000A3299"/>
    <w:rsid w:val="000A377C"/>
    <w:rsid w:val="000A38B2"/>
    <w:rsid w:val="000A3995"/>
    <w:rsid w:val="000A3B69"/>
    <w:rsid w:val="000A416D"/>
    <w:rsid w:val="000A6553"/>
    <w:rsid w:val="000A6CF9"/>
    <w:rsid w:val="000A74F5"/>
    <w:rsid w:val="000A784A"/>
    <w:rsid w:val="000A7BAE"/>
    <w:rsid w:val="000A7FBF"/>
    <w:rsid w:val="000B028B"/>
    <w:rsid w:val="000B02FE"/>
    <w:rsid w:val="000B09B3"/>
    <w:rsid w:val="000B0A38"/>
    <w:rsid w:val="000B0B54"/>
    <w:rsid w:val="000B0C3E"/>
    <w:rsid w:val="000B0EDD"/>
    <w:rsid w:val="000B1EB7"/>
    <w:rsid w:val="000B1EBD"/>
    <w:rsid w:val="000B253D"/>
    <w:rsid w:val="000B2A77"/>
    <w:rsid w:val="000B2D84"/>
    <w:rsid w:val="000B2E20"/>
    <w:rsid w:val="000B30FE"/>
    <w:rsid w:val="000B3451"/>
    <w:rsid w:val="000B382D"/>
    <w:rsid w:val="000B3944"/>
    <w:rsid w:val="000B466B"/>
    <w:rsid w:val="000B47A3"/>
    <w:rsid w:val="000B55F0"/>
    <w:rsid w:val="000B56FB"/>
    <w:rsid w:val="000B5848"/>
    <w:rsid w:val="000B5BA5"/>
    <w:rsid w:val="000B5C99"/>
    <w:rsid w:val="000B6DCC"/>
    <w:rsid w:val="000B6F90"/>
    <w:rsid w:val="000B6FE2"/>
    <w:rsid w:val="000B70B5"/>
    <w:rsid w:val="000B715C"/>
    <w:rsid w:val="000B75C3"/>
    <w:rsid w:val="000B7F4D"/>
    <w:rsid w:val="000C03CD"/>
    <w:rsid w:val="000C0E90"/>
    <w:rsid w:val="000C0FDC"/>
    <w:rsid w:val="000C1204"/>
    <w:rsid w:val="000C1212"/>
    <w:rsid w:val="000C1678"/>
    <w:rsid w:val="000C1968"/>
    <w:rsid w:val="000C1D52"/>
    <w:rsid w:val="000C2238"/>
    <w:rsid w:val="000C3DE7"/>
    <w:rsid w:val="000C4318"/>
    <w:rsid w:val="000C47AD"/>
    <w:rsid w:val="000C59B2"/>
    <w:rsid w:val="000C5A26"/>
    <w:rsid w:val="000C617F"/>
    <w:rsid w:val="000C623F"/>
    <w:rsid w:val="000C685C"/>
    <w:rsid w:val="000C7445"/>
    <w:rsid w:val="000C74F7"/>
    <w:rsid w:val="000C7763"/>
    <w:rsid w:val="000C78D4"/>
    <w:rsid w:val="000C7BB9"/>
    <w:rsid w:val="000C7C71"/>
    <w:rsid w:val="000D013F"/>
    <w:rsid w:val="000D0831"/>
    <w:rsid w:val="000D091B"/>
    <w:rsid w:val="000D1A5E"/>
    <w:rsid w:val="000D2493"/>
    <w:rsid w:val="000D2A1E"/>
    <w:rsid w:val="000D2E4B"/>
    <w:rsid w:val="000D3155"/>
    <w:rsid w:val="000D4825"/>
    <w:rsid w:val="000D4BF7"/>
    <w:rsid w:val="000D4EE0"/>
    <w:rsid w:val="000D5D51"/>
    <w:rsid w:val="000D5D6F"/>
    <w:rsid w:val="000D5E32"/>
    <w:rsid w:val="000D618E"/>
    <w:rsid w:val="000D6782"/>
    <w:rsid w:val="000D6FAF"/>
    <w:rsid w:val="000D7988"/>
    <w:rsid w:val="000E08B6"/>
    <w:rsid w:val="000E13BC"/>
    <w:rsid w:val="000E16EE"/>
    <w:rsid w:val="000E1BC4"/>
    <w:rsid w:val="000E1EA2"/>
    <w:rsid w:val="000E245F"/>
    <w:rsid w:val="000E2832"/>
    <w:rsid w:val="000E2A22"/>
    <w:rsid w:val="000E2C3C"/>
    <w:rsid w:val="000E3269"/>
    <w:rsid w:val="000E36ED"/>
    <w:rsid w:val="000E3868"/>
    <w:rsid w:val="000E3CD1"/>
    <w:rsid w:val="000E4211"/>
    <w:rsid w:val="000E4471"/>
    <w:rsid w:val="000E4C93"/>
    <w:rsid w:val="000E5370"/>
    <w:rsid w:val="000E5CA6"/>
    <w:rsid w:val="000E6EE0"/>
    <w:rsid w:val="000E77FE"/>
    <w:rsid w:val="000E7C41"/>
    <w:rsid w:val="000E7DBA"/>
    <w:rsid w:val="000E7F5C"/>
    <w:rsid w:val="000F04C1"/>
    <w:rsid w:val="000F12E9"/>
    <w:rsid w:val="000F1FC8"/>
    <w:rsid w:val="000F2066"/>
    <w:rsid w:val="000F2532"/>
    <w:rsid w:val="000F2C9B"/>
    <w:rsid w:val="000F2D9B"/>
    <w:rsid w:val="000F316E"/>
    <w:rsid w:val="000F3B33"/>
    <w:rsid w:val="000F3BB0"/>
    <w:rsid w:val="000F3D8D"/>
    <w:rsid w:val="000F41A8"/>
    <w:rsid w:val="000F4456"/>
    <w:rsid w:val="000F4462"/>
    <w:rsid w:val="000F52DE"/>
    <w:rsid w:val="000F541C"/>
    <w:rsid w:val="000F56EE"/>
    <w:rsid w:val="000F6023"/>
    <w:rsid w:val="000F65CE"/>
    <w:rsid w:val="000F6ED3"/>
    <w:rsid w:val="000F7337"/>
    <w:rsid w:val="000F753F"/>
    <w:rsid w:val="000F763D"/>
    <w:rsid w:val="000F77CD"/>
    <w:rsid w:val="000F7D85"/>
    <w:rsid w:val="000F7E68"/>
    <w:rsid w:val="0010044D"/>
    <w:rsid w:val="00100739"/>
    <w:rsid w:val="00100DEA"/>
    <w:rsid w:val="0010236D"/>
    <w:rsid w:val="0010251F"/>
    <w:rsid w:val="001025B9"/>
    <w:rsid w:val="0010269C"/>
    <w:rsid w:val="0010271E"/>
    <w:rsid w:val="001027C5"/>
    <w:rsid w:val="001030D9"/>
    <w:rsid w:val="00103AD7"/>
    <w:rsid w:val="00104646"/>
    <w:rsid w:val="0010515C"/>
    <w:rsid w:val="00105601"/>
    <w:rsid w:val="00105D7C"/>
    <w:rsid w:val="00105E73"/>
    <w:rsid w:val="001066AF"/>
    <w:rsid w:val="0010684C"/>
    <w:rsid w:val="00106A55"/>
    <w:rsid w:val="00106A9A"/>
    <w:rsid w:val="0010701E"/>
    <w:rsid w:val="00107183"/>
    <w:rsid w:val="0010743F"/>
    <w:rsid w:val="001076A9"/>
    <w:rsid w:val="00110610"/>
    <w:rsid w:val="001119C4"/>
    <w:rsid w:val="00111B70"/>
    <w:rsid w:val="00112AE8"/>
    <w:rsid w:val="00113281"/>
    <w:rsid w:val="00113707"/>
    <w:rsid w:val="001137E2"/>
    <w:rsid w:val="001138C0"/>
    <w:rsid w:val="00113B27"/>
    <w:rsid w:val="00114881"/>
    <w:rsid w:val="00114B1B"/>
    <w:rsid w:val="00114FBC"/>
    <w:rsid w:val="00115A97"/>
    <w:rsid w:val="00116242"/>
    <w:rsid w:val="0011678E"/>
    <w:rsid w:val="00116AB8"/>
    <w:rsid w:val="0011722F"/>
    <w:rsid w:val="001172CF"/>
    <w:rsid w:val="001176EA"/>
    <w:rsid w:val="00120370"/>
    <w:rsid w:val="00120D0E"/>
    <w:rsid w:val="00121183"/>
    <w:rsid w:val="001217DE"/>
    <w:rsid w:val="00121904"/>
    <w:rsid w:val="001221AD"/>
    <w:rsid w:val="001233E8"/>
    <w:rsid w:val="001237D2"/>
    <w:rsid w:val="00124240"/>
    <w:rsid w:val="00124A70"/>
    <w:rsid w:val="00124AF8"/>
    <w:rsid w:val="00124F0F"/>
    <w:rsid w:val="0012550C"/>
    <w:rsid w:val="0012581A"/>
    <w:rsid w:val="001258BC"/>
    <w:rsid w:val="001266D3"/>
    <w:rsid w:val="0012672C"/>
    <w:rsid w:val="001267CD"/>
    <w:rsid w:val="00126974"/>
    <w:rsid w:val="00126DAD"/>
    <w:rsid w:val="00126FFA"/>
    <w:rsid w:val="00127166"/>
    <w:rsid w:val="00127480"/>
    <w:rsid w:val="001275DE"/>
    <w:rsid w:val="00127752"/>
    <w:rsid w:val="00127864"/>
    <w:rsid w:val="00130481"/>
    <w:rsid w:val="00130EB1"/>
    <w:rsid w:val="0013103A"/>
    <w:rsid w:val="00131777"/>
    <w:rsid w:val="00131B6B"/>
    <w:rsid w:val="00132325"/>
    <w:rsid w:val="00132E88"/>
    <w:rsid w:val="00133DC4"/>
    <w:rsid w:val="0013491C"/>
    <w:rsid w:val="00135A81"/>
    <w:rsid w:val="00135AA6"/>
    <w:rsid w:val="00135F0A"/>
    <w:rsid w:val="00136D6D"/>
    <w:rsid w:val="0014092F"/>
    <w:rsid w:val="001411DF"/>
    <w:rsid w:val="00141DAA"/>
    <w:rsid w:val="00141EE5"/>
    <w:rsid w:val="00141EEA"/>
    <w:rsid w:val="0014201C"/>
    <w:rsid w:val="00142956"/>
    <w:rsid w:val="00142961"/>
    <w:rsid w:val="00143454"/>
    <w:rsid w:val="00143679"/>
    <w:rsid w:val="001439B9"/>
    <w:rsid w:val="001443BA"/>
    <w:rsid w:val="001445B1"/>
    <w:rsid w:val="0014463A"/>
    <w:rsid w:val="001449B2"/>
    <w:rsid w:val="00145491"/>
    <w:rsid w:val="001457E2"/>
    <w:rsid w:val="00145A49"/>
    <w:rsid w:val="00145E66"/>
    <w:rsid w:val="0014660E"/>
    <w:rsid w:val="00146D01"/>
    <w:rsid w:val="00146E2C"/>
    <w:rsid w:val="0014748A"/>
    <w:rsid w:val="001476A0"/>
    <w:rsid w:val="00147787"/>
    <w:rsid w:val="00150AE3"/>
    <w:rsid w:val="00150BED"/>
    <w:rsid w:val="00151717"/>
    <w:rsid w:val="00151BA5"/>
    <w:rsid w:val="00151FA8"/>
    <w:rsid w:val="0015218F"/>
    <w:rsid w:val="00152212"/>
    <w:rsid w:val="00152289"/>
    <w:rsid w:val="00152938"/>
    <w:rsid w:val="0015299C"/>
    <w:rsid w:val="00152AB9"/>
    <w:rsid w:val="0015315A"/>
    <w:rsid w:val="001535EE"/>
    <w:rsid w:val="001538BC"/>
    <w:rsid w:val="0015394C"/>
    <w:rsid w:val="00153BEF"/>
    <w:rsid w:val="00153E58"/>
    <w:rsid w:val="00154762"/>
    <w:rsid w:val="00155412"/>
    <w:rsid w:val="0015579F"/>
    <w:rsid w:val="00155832"/>
    <w:rsid w:val="00155E87"/>
    <w:rsid w:val="00156249"/>
    <w:rsid w:val="001565DF"/>
    <w:rsid w:val="00156C65"/>
    <w:rsid w:val="00157104"/>
    <w:rsid w:val="0015773F"/>
    <w:rsid w:val="00160700"/>
    <w:rsid w:val="00160842"/>
    <w:rsid w:val="00160B6F"/>
    <w:rsid w:val="001613F3"/>
    <w:rsid w:val="00161984"/>
    <w:rsid w:val="00161E13"/>
    <w:rsid w:val="0016229C"/>
    <w:rsid w:val="00162597"/>
    <w:rsid w:val="001626FB"/>
    <w:rsid w:val="001627C9"/>
    <w:rsid w:val="001627CB"/>
    <w:rsid w:val="00162F97"/>
    <w:rsid w:val="00163160"/>
    <w:rsid w:val="0016324C"/>
    <w:rsid w:val="00163539"/>
    <w:rsid w:val="00163849"/>
    <w:rsid w:val="00163E7F"/>
    <w:rsid w:val="00164094"/>
    <w:rsid w:val="001640E2"/>
    <w:rsid w:val="0016510E"/>
    <w:rsid w:val="0016533D"/>
    <w:rsid w:val="00165383"/>
    <w:rsid w:val="001656D0"/>
    <w:rsid w:val="00165724"/>
    <w:rsid w:val="00165D7D"/>
    <w:rsid w:val="00165FA9"/>
    <w:rsid w:val="001662B6"/>
    <w:rsid w:val="001662C2"/>
    <w:rsid w:val="00166331"/>
    <w:rsid w:val="00166A12"/>
    <w:rsid w:val="00167308"/>
    <w:rsid w:val="00167624"/>
    <w:rsid w:val="00167B1C"/>
    <w:rsid w:val="00167D52"/>
    <w:rsid w:val="00170523"/>
    <w:rsid w:val="0017053F"/>
    <w:rsid w:val="00171506"/>
    <w:rsid w:val="00171750"/>
    <w:rsid w:val="00171F19"/>
    <w:rsid w:val="00171F6F"/>
    <w:rsid w:val="00172F15"/>
    <w:rsid w:val="00173282"/>
    <w:rsid w:val="0017368F"/>
    <w:rsid w:val="00173698"/>
    <w:rsid w:val="00174965"/>
    <w:rsid w:val="00174A50"/>
    <w:rsid w:val="00174E50"/>
    <w:rsid w:val="001760ED"/>
    <w:rsid w:val="00176488"/>
    <w:rsid w:val="00176890"/>
    <w:rsid w:val="00176D40"/>
    <w:rsid w:val="00176DF8"/>
    <w:rsid w:val="00177134"/>
    <w:rsid w:val="001775D6"/>
    <w:rsid w:val="001776AD"/>
    <w:rsid w:val="00177A40"/>
    <w:rsid w:val="00177E06"/>
    <w:rsid w:val="001801FD"/>
    <w:rsid w:val="001804DB"/>
    <w:rsid w:val="0018094D"/>
    <w:rsid w:val="0018096B"/>
    <w:rsid w:val="00180EA9"/>
    <w:rsid w:val="00181026"/>
    <w:rsid w:val="00181508"/>
    <w:rsid w:val="00181AA1"/>
    <w:rsid w:val="001823B3"/>
    <w:rsid w:val="001823FA"/>
    <w:rsid w:val="00182B03"/>
    <w:rsid w:val="00182EB5"/>
    <w:rsid w:val="00183161"/>
    <w:rsid w:val="001834A3"/>
    <w:rsid w:val="001851F5"/>
    <w:rsid w:val="001856A4"/>
    <w:rsid w:val="00185871"/>
    <w:rsid w:val="00186FFC"/>
    <w:rsid w:val="0018718C"/>
    <w:rsid w:val="001873B2"/>
    <w:rsid w:val="00187957"/>
    <w:rsid w:val="00187D10"/>
    <w:rsid w:val="00187FF6"/>
    <w:rsid w:val="001912D4"/>
    <w:rsid w:val="00191440"/>
    <w:rsid w:val="0019243C"/>
    <w:rsid w:val="00192466"/>
    <w:rsid w:val="001924DC"/>
    <w:rsid w:val="001924DD"/>
    <w:rsid w:val="00193754"/>
    <w:rsid w:val="0019442C"/>
    <w:rsid w:val="00194825"/>
    <w:rsid w:val="00194ECA"/>
    <w:rsid w:val="00195235"/>
    <w:rsid w:val="00195AAF"/>
    <w:rsid w:val="00196479"/>
    <w:rsid w:val="001978FF"/>
    <w:rsid w:val="001979BF"/>
    <w:rsid w:val="00197DFC"/>
    <w:rsid w:val="00197EF2"/>
    <w:rsid w:val="00197F05"/>
    <w:rsid w:val="001A0777"/>
    <w:rsid w:val="001A0A0D"/>
    <w:rsid w:val="001A1E76"/>
    <w:rsid w:val="001A208C"/>
    <w:rsid w:val="001A23FD"/>
    <w:rsid w:val="001A2589"/>
    <w:rsid w:val="001A2BD8"/>
    <w:rsid w:val="001A32A8"/>
    <w:rsid w:val="001A42AA"/>
    <w:rsid w:val="001A49A1"/>
    <w:rsid w:val="001A4B5C"/>
    <w:rsid w:val="001A4F38"/>
    <w:rsid w:val="001A5009"/>
    <w:rsid w:val="001A51A9"/>
    <w:rsid w:val="001A539C"/>
    <w:rsid w:val="001A6232"/>
    <w:rsid w:val="001A64BC"/>
    <w:rsid w:val="001A6973"/>
    <w:rsid w:val="001A6B82"/>
    <w:rsid w:val="001A6F83"/>
    <w:rsid w:val="001A7586"/>
    <w:rsid w:val="001A7872"/>
    <w:rsid w:val="001A7F72"/>
    <w:rsid w:val="001B0336"/>
    <w:rsid w:val="001B0CC8"/>
    <w:rsid w:val="001B1DD8"/>
    <w:rsid w:val="001B24FF"/>
    <w:rsid w:val="001B273D"/>
    <w:rsid w:val="001B2D59"/>
    <w:rsid w:val="001B5408"/>
    <w:rsid w:val="001B63C5"/>
    <w:rsid w:val="001B6C92"/>
    <w:rsid w:val="001B708A"/>
    <w:rsid w:val="001B7392"/>
    <w:rsid w:val="001B754F"/>
    <w:rsid w:val="001B764C"/>
    <w:rsid w:val="001B7E83"/>
    <w:rsid w:val="001B7ED2"/>
    <w:rsid w:val="001C099B"/>
    <w:rsid w:val="001C0F49"/>
    <w:rsid w:val="001C114C"/>
    <w:rsid w:val="001C1159"/>
    <w:rsid w:val="001C120E"/>
    <w:rsid w:val="001C1718"/>
    <w:rsid w:val="001C1A26"/>
    <w:rsid w:val="001C1C93"/>
    <w:rsid w:val="001C2274"/>
    <w:rsid w:val="001C338E"/>
    <w:rsid w:val="001C34CC"/>
    <w:rsid w:val="001C3E99"/>
    <w:rsid w:val="001C3F70"/>
    <w:rsid w:val="001C3F8E"/>
    <w:rsid w:val="001C43F6"/>
    <w:rsid w:val="001C5033"/>
    <w:rsid w:val="001C5300"/>
    <w:rsid w:val="001C5DA8"/>
    <w:rsid w:val="001C6364"/>
    <w:rsid w:val="001C6D90"/>
    <w:rsid w:val="001C6F19"/>
    <w:rsid w:val="001C706E"/>
    <w:rsid w:val="001C759B"/>
    <w:rsid w:val="001D0592"/>
    <w:rsid w:val="001D0609"/>
    <w:rsid w:val="001D07FE"/>
    <w:rsid w:val="001D0DAD"/>
    <w:rsid w:val="001D198B"/>
    <w:rsid w:val="001D1D36"/>
    <w:rsid w:val="001D1D99"/>
    <w:rsid w:val="001D27C3"/>
    <w:rsid w:val="001D2997"/>
    <w:rsid w:val="001D315A"/>
    <w:rsid w:val="001D33DC"/>
    <w:rsid w:val="001D45B5"/>
    <w:rsid w:val="001D4C05"/>
    <w:rsid w:val="001D541D"/>
    <w:rsid w:val="001D6BF7"/>
    <w:rsid w:val="001D6DC2"/>
    <w:rsid w:val="001D6F91"/>
    <w:rsid w:val="001D7126"/>
    <w:rsid w:val="001D73B6"/>
    <w:rsid w:val="001D74D1"/>
    <w:rsid w:val="001E0B35"/>
    <w:rsid w:val="001E11DC"/>
    <w:rsid w:val="001E153B"/>
    <w:rsid w:val="001E1774"/>
    <w:rsid w:val="001E18B1"/>
    <w:rsid w:val="001E1A6D"/>
    <w:rsid w:val="001E1B47"/>
    <w:rsid w:val="001E1BB6"/>
    <w:rsid w:val="001E27F3"/>
    <w:rsid w:val="001E28A8"/>
    <w:rsid w:val="001E2FF8"/>
    <w:rsid w:val="001E31B0"/>
    <w:rsid w:val="001E3895"/>
    <w:rsid w:val="001E3A0F"/>
    <w:rsid w:val="001E3CD9"/>
    <w:rsid w:val="001E44CD"/>
    <w:rsid w:val="001E49FA"/>
    <w:rsid w:val="001E4BC6"/>
    <w:rsid w:val="001E4D8E"/>
    <w:rsid w:val="001E53F8"/>
    <w:rsid w:val="001E5D80"/>
    <w:rsid w:val="001E5D81"/>
    <w:rsid w:val="001E5FE4"/>
    <w:rsid w:val="001E6020"/>
    <w:rsid w:val="001E6223"/>
    <w:rsid w:val="001E673F"/>
    <w:rsid w:val="001E67C4"/>
    <w:rsid w:val="001E689F"/>
    <w:rsid w:val="001E7163"/>
    <w:rsid w:val="001E7A45"/>
    <w:rsid w:val="001E7BAE"/>
    <w:rsid w:val="001E7F25"/>
    <w:rsid w:val="001F026C"/>
    <w:rsid w:val="001F0AEA"/>
    <w:rsid w:val="001F0B38"/>
    <w:rsid w:val="001F0F5C"/>
    <w:rsid w:val="001F14C4"/>
    <w:rsid w:val="001F1803"/>
    <w:rsid w:val="001F1C71"/>
    <w:rsid w:val="001F21A4"/>
    <w:rsid w:val="001F223E"/>
    <w:rsid w:val="001F23DE"/>
    <w:rsid w:val="001F2A97"/>
    <w:rsid w:val="001F2B8F"/>
    <w:rsid w:val="001F4094"/>
    <w:rsid w:val="001F4475"/>
    <w:rsid w:val="001F4509"/>
    <w:rsid w:val="001F4748"/>
    <w:rsid w:val="001F4CEA"/>
    <w:rsid w:val="001F5754"/>
    <w:rsid w:val="001F596A"/>
    <w:rsid w:val="001F5ABB"/>
    <w:rsid w:val="001F5F1E"/>
    <w:rsid w:val="001F61F3"/>
    <w:rsid w:val="001F6261"/>
    <w:rsid w:val="001F68BA"/>
    <w:rsid w:val="001F70C6"/>
    <w:rsid w:val="001F74C4"/>
    <w:rsid w:val="001F782E"/>
    <w:rsid w:val="001F7E86"/>
    <w:rsid w:val="001F7EFE"/>
    <w:rsid w:val="002007EB"/>
    <w:rsid w:val="00200B11"/>
    <w:rsid w:val="00200C6F"/>
    <w:rsid w:val="00201815"/>
    <w:rsid w:val="002024F0"/>
    <w:rsid w:val="00202960"/>
    <w:rsid w:val="00202B31"/>
    <w:rsid w:val="00202B94"/>
    <w:rsid w:val="00202C60"/>
    <w:rsid w:val="00203252"/>
    <w:rsid w:val="00203869"/>
    <w:rsid w:val="00203ED5"/>
    <w:rsid w:val="0020434F"/>
    <w:rsid w:val="002046FF"/>
    <w:rsid w:val="002047E6"/>
    <w:rsid w:val="0020497E"/>
    <w:rsid w:val="002051FA"/>
    <w:rsid w:val="002059A5"/>
    <w:rsid w:val="00205C5F"/>
    <w:rsid w:val="00206154"/>
    <w:rsid w:val="002065B1"/>
    <w:rsid w:val="00207284"/>
    <w:rsid w:val="0020778A"/>
    <w:rsid w:val="00207FD7"/>
    <w:rsid w:val="00210C19"/>
    <w:rsid w:val="00210C7A"/>
    <w:rsid w:val="002110AB"/>
    <w:rsid w:val="0021174A"/>
    <w:rsid w:val="00211F64"/>
    <w:rsid w:val="00211F9B"/>
    <w:rsid w:val="0021234A"/>
    <w:rsid w:val="00212412"/>
    <w:rsid w:val="00212A58"/>
    <w:rsid w:val="00212CAB"/>
    <w:rsid w:val="00213209"/>
    <w:rsid w:val="0021330E"/>
    <w:rsid w:val="0021397C"/>
    <w:rsid w:val="00213CEA"/>
    <w:rsid w:val="00214128"/>
    <w:rsid w:val="00215149"/>
    <w:rsid w:val="002164FD"/>
    <w:rsid w:val="00216FA1"/>
    <w:rsid w:val="002170DF"/>
    <w:rsid w:val="002171B0"/>
    <w:rsid w:val="002174EC"/>
    <w:rsid w:val="002177AE"/>
    <w:rsid w:val="00217972"/>
    <w:rsid w:val="00217EFB"/>
    <w:rsid w:val="00221415"/>
    <w:rsid w:val="00221A37"/>
    <w:rsid w:val="00221C43"/>
    <w:rsid w:val="00222036"/>
    <w:rsid w:val="0022254B"/>
    <w:rsid w:val="00222E0C"/>
    <w:rsid w:val="002235BA"/>
    <w:rsid w:val="00224463"/>
    <w:rsid w:val="00225043"/>
    <w:rsid w:val="002259A8"/>
    <w:rsid w:val="00225A21"/>
    <w:rsid w:val="00226083"/>
    <w:rsid w:val="00226233"/>
    <w:rsid w:val="00226FD8"/>
    <w:rsid w:val="00227B90"/>
    <w:rsid w:val="00227CF8"/>
    <w:rsid w:val="002302A2"/>
    <w:rsid w:val="00230542"/>
    <w:rsid w:val="00230D1D"/>
    <w:rsid w:val="00231030"/>
    <w:rsid w:val="002311B1"/>
    <w:rsid w:val="002311B3"/>
    <w:rsid w:val="00231934"/>
    <w:rsid w:val="00231AAA"/>
    <w:rsid w:val="00232B1E"/>
    <w:rsid w:val="00232C73"/>
    <w:rsid w:val="0023359B"/>
    <w:rsid w:val="00233902"/>
    <w:rsid w:val="0023402D"/>
    <w:rsid w:val="002342B1"/>
    <w:rsid w:val="0023449A"/>
    <w:rsid w:val="00234A7F"/>
    <w:rsid w:val="00234AE3"/>
    <w:rsid w:val="0023575B"/>
    <w:rsid w:val="00235A2E"/>
    <w:rsid w:val="002379E8"/>
    <w:rsid w:val="002407A3"/>
    <w:rsid w:val="00240CDB"/>
    <w:rsid w:val="00241495"/>
    <w:rsid w:val="00241E62"/>
    <w:rsid w:val="0024217F"/>
    <w:rsid w:val="00242DAE"/>
    <w:rsid w:val="00243720"/>
    <w:rsid w:val="0024400F"/>
    <w:rsid w:val="002440B7"/>
    <w:rsid w:val="00244A13"/>
    <w:rsid w:val="00244CFC"/>
    <w:rsid w:val="00245066"/>
    <w:rsid w:val="002458B2"/>
    <w:rsid w:val="00246A49"/>
    <w:rsid w:val="00246CEA"/>
    <w:rsid w:val="0024706B"/>
    <w:rsid w:val="002506F3"/>
    <w:rsid w:val="00250C59"/>
    <w:rsid w:val="002524BA"/>
    <w:rsid w:val="002525AA"/>
    <w:rsid w:val="002528FB"/>
    <w:rsid w:val="00252DC9"/>
    <w:rsid w:val="00252FA0"/>
    <w:rsid w:val="00253DA1"/>
    <w:rsid w:val="00254596"/>
    <w:rsid w:val="00254B24"/>
    <w:rsid w:val="0025502D"/>
    <w:rsid w:val="00255D48"/>
    <w:rsid w:val="00256405"/>
    <w:rsid w:val="00256752"/>
    <w:rsid w:val="00257871"/>
    <w:rsid w:val="0025796C"/>
    <w:rsid w:val="0026074C"/>
    <w:rsid w:val="00260C70"/>
    <w:rsid w:val="0026142A"/>
    <w:rsid w:val="002617A5"/>
    <w:rsid w:val="00262152"/>
    <w:rsid w:val="00262355"/>
    <w:rsid w:val="00262790"/>
    <w:rsid w:val="0026305B"/>
    <w:rsid w:val="002632AD"/>
    <w:rsid w:val="002637B8"/>
    <w:rsid w:val="00263F29"/>
    <w:rsid w:val="00265CCA"/>
    <w:rsid w:val="002660E9"/>
    <w:rsid w:val="00266335"/>
    <w:rsid w:val="00266857"/>
    <w:rsid w:val="00266A52"/>
    <w:rsid w:val="002670D6"/>
    <w:rsid w:val="0026710B"/>
    <w:rsid w:val="00267434"/>
    <w:rsid w:val="00267D08"/>
    <w:rsid w:val="00270F51"/>
    <w:rsid w:val="002714A8"/>
    <w:rsid w:val="002717B8"/>
    <w:rsid w:val="002722CB"/>
    <w:rsid w:val="002726BE"/>
    <w:rsid w:val="002726C8"/>
    <w:rsid w:val="00273843"/>
    <w:rsid w:val="0027458B"/>
    <w:rsid w:val="0027465B"/>
    <w:rsid w:val="002746BA"/>
    <w:rsid w:val="00274908"/>
    <w:rsid w:val="00274D7B"/>
    <w:rsid w:val="00275280"/>
    <w:rsid w:val="00275625"/>
    <w:rsid w:val="00275986"/>
    <w:rsid w:val="00275B11"/>
    <w:rsid w:val="00275D75"/>
    <w:rsid w:val="00276697"/>
    <w:rsid w:val="00276B8F"/>
    <w:rsid w:val="00276DD4"/>
    <w:rsid w:val="00276EEE"/>
    <w:rsid w:val="002774FF"/>
    <w:rsid w:val="00277B25"/>
    <w:rsid w:val="00277B85"/>
    <w:rsid w:val="00277DFB"/>
    <w:rsid w:val="00280763"/>
    <w:rsid w:val="00280C71"/>
    <w:rsid w:val="00281050"/>
    <w:rsid w:val="0028139C"/>
    <w:rsid w:val="00281CFB"/>
    <w:rsid w:val="00282464"/>
    <w:rsid w:val="002827AB"/>
    <w:rsid w:val="002827EC"/>
    <w:rsid w:val="00282997"/>
    <w:rsid w:val="00282F9D"/>
    <w:rsid w:val="00283D35"/>
    <w:rsid w:val="002851BB"/>
    <w:rsid w:val="0028536C"/>
    <w:rsid w:val="0028604D"/>
    <w:rsid w:val="002860D6"/>
    <w:rsid w:val="002861DA"/>
    <w:rsid w:val="00286591"/>
    <w:rsid w:val="0028681F"/>
    <w:rsid w:val="0028690E"/>
    <w:rsid w:val="00286B2A"/>
    <w:rsid w:val="00287EB5"/>
    <w:rsid w:val="002900BA"/>
    <w:rsid w:val="0029018E"/>
    <w:rsid w:val="002903AE"/>
    <w:rsid w:val="002903CC"/>
    <w:rsid w:val="002905F7"/>
    <w:rsid w:val="002913AE"/>
    <w:rsid w:val="002916C9"/>
    <w:rsid w:val="00291C0A"/>
    <w:rsid w:val="00291DF8"/>
    <w:rsid w:val="00291FE6"/>
    <w:rsid w:val="00292330"/>
    <w:rsid w:val="0029363D"/>
    <w:rsid w:val="00293A59"/>
    <w:rsid w:val="00293D61"/>
    <w:rsid w:val="0029428A"/>
    <w:rsid w:val="00294381"/>
    <w:rsid w:val="00294652"/>
    <w:rsid w:val="0029465D"/>
    <w:rsid w:val="00294F4D"/>
    <w:rsid w:val="00295476"/>
    <w:rsid w:val="00295574"/>
    <w:rsid w:val="00295807"/>
    <w:rsid w:val="00295D53"/>
    <w:rsid w:val="00295E14"/>
    <w:rsid w:val="002960E3"/>
    <w:rsid w:val="0029651C"/>
    <w:rsid w:val="002966D6"/>
    <w:rsid w:val="002969F0"/>
    <w:rsid w:val="00296AF7"/>
    <w:rsid w:val="00296C1D"/>
    <w:rsid w:val="00296CF7"/>
    <w:rsid w:val="00296EE0"/>
    <w:rsid w:val="002976D2"/>
    <w:rsid w:val="0029786C"/>
    <w:rsid w:val="002979BD"/>
    <w:rsid w:val="002A0C97"/>
    <w:rsid w:val="002A148E"/>
    <w:rsid w:val="002A1C70"/>
    <w:rsid w:val="002A1D94"/>
    <w:rsid w:val="002A27F0"/>
    <w:rsid w:val="002A2B49"/>
    <w:rsid w:val="002A39FD"/>
    <w:rsid w:val="002A44F3"/>
    <w:rsid w:val="002A4A79"/>
    <w:rsid w:val="002A5566"/>
    <w:rsid w:val="002A56DE"/>
    <w:rsid w:val="002A587C"/>
    <w:rsid w:val="002B0232"/>
    <w:rsid w:val="002B04EB"/>
    <w:rsid w:val="002B0519"/>
    <w:rsid w:val="002B297F"/>
    <w:rsid w:val="002B39AE"/>
    <w:rsid w:val="002B3C08"/>
    <w:rsid w:val="002B4EA2"/>
    <w:rsid w:val="002B514E"/>
    <w:rsid w:val="002B5A27"/>
    <w:rsid w:val="002B5D89"/>
    <w:rsid w:val="002B62B8"/>
    <w:rsid w:val="002B6EA0"/>
    <w:rsid w:val="002B781D"/>
    <w:rsid w:val="002B7CC2"/>
    <w:rsid w:val="002B7F17"/>
    <w:rsid w:val="002C01DC"/>
    <w:rsid w:val="002C058B"/>
    <w:rsid w:val="002C06BD"/>
    <w:rsid w:val="002C0B07"/>
    <w:rsid w:val="002C1786"/>
    <w:rsid w:val="002C18A2"/>
    <w:rsid w:val="002C2068"/>
    <w:rsid w:val="002C2A14"/>
    <w:rsid w:val="002C2B53"/>
    <w:rsid w:val="002C3148"/>
    <w:rsid w:val="002C3163"/>
    <w:rsid w:val="002C3AC4"/>
    <w:rsid w:val="002C44D0"/>
    <w:rsid w:val="002C4A2F"/>
    <w:rsid w:val="002C4B8A"/>
    <w:rsid w:val="002C5293"/>
    <w:rsid w:val="002C6AEF"/>
    <w:rsid w:val="002C6B82"/>
    <w:rsid w:val="002C6CD0"/>
    <w:rsid w:val="002C6F5D"/>
    <w:rsid w:val="002C742C"/>
    <w:rsid w:val="002D0309"/>
    <w:rsid w:val="002D0539"/>
    <w:rsid w:val="002D06D5"/>
    <w:rsid w:val="002D099A"/>
    <w:rsid w:val="002D0EE6"/>
    <w:rsid w:val="002D127B"/>
    <w:rsid w:val="002D14EE"/>
    <w:rsid w:val="002D1FDF"/>
    <w:rsid w:val="002D1FFD"/>
    <w:rsid w:val="002D247D"/>
    <w:rsid w:val="002D277D"/>
    <w:rsid w:val="002D343C"/>
    <w:rsid w:val="002D35B6"/>
    <w:rsid w:val="002D370A"/>
    <w:rsid w:val="002D3ECC"/>
    <w:rsid w:val="002D4037"/>
    <w:rsid w:val="002D45F2"/>
    <w:rsid w:val="002D4DCD"/>
    <w:rsid w:val="002D4FEA"/>
    <w:rsid w:val="002D517A"/>
    <w:rsid w:val="002D53E1"/>
    <w:rsid w:val="002D53FF"/>
    <w:rsid w:val="002D5D4D"/>
    <w:rsid w:val="002D65C0"/>
    <w:rsid w:val="002D6AB6"/>
    <w:rsid w:val="002D6ACC"/>
    <w:rsid w:val="002D70D8"/>
    <w:rsid w:val="002D76AE"/>
    <w:rsid w:val="002E00AF"/>
    <w:rsid w:val="002E0315"/>
    <w:rsid w:val="002E0A33"/>
    <w:rsid w:val="002E16D4"/>
    <w:rsid w:val="002E21AC"/>
    <w:rsid w:val="002E258D"/>
    <w:rsid w:val="002E28EB"/>
    <w:rsid w:val="002E2AB3"/>
    <w:rsid w:val="002E3943"/>
    <w:rsid w:val="002E4007"/>
    <w:rsid w:val="002E48ED"/>
    <w:rsid w:val="002E51A6"/>
    <w:rsid w:val="002E528C"/>
    <w:rsid w:val="002E543B"/>
    <w:rsid w:val="002E5919"/>
    <w:rsid w:val="002E708E"/>
    <w:rsid w:val="002E7989"/>
    <w:rsid w:val="002E7E22"/>
    <w:rsid w:val="002F061E"/>
    <w:rsid w:val="002F0DC5"/>
    <w:rsid w:val="002F0F66"/>
    <w:rsid w:val="002F1112"/>
    <w:rsid w:val="002F1356"/>
    <w:rsid w:val="002F2933"/>
    <w:rsid w:val="002F2E13"/>
    <w:rsid w:val="002F2F29"/>
    <w:rsid w:val="002F306F"/>
    <w:rsid w:val="002F3F09"/>
    <w:rsid w:val="002F5668"/>
    <w:rsid w:val="002F5A60"/>
    <w:rsid w:val="002F5C77"/>
    <w:rsid w:val="002F5CF4"/>
    <w:rsid w:val="002F6262"/>
    <w:rsid w:val="002F6B8E"/>
    <w:rsid w:val="002F7BFE"/>
    <w:rsid w:val="0030010F"/>
    <w:rsid w:val="00300234"/>
    <w:rsid w:val="0030057E"/>
    <w:rsid w:val="00300D88"/>
    <w:rsid w:val="0030151F"/>
    <w:rsid w:val="003025C2"/>
    <w:rsid w:val="0030282E"/>
    <w:rsid w:val="00303044"/>
    <w:rsid w:val="003034E2"/>
    <w:rsid w:val="0030368B"/>
    <w:rsid w:val="0030579A"/>
    <w:rsid w:val="00305880"/>
    <w:rsid w:val="0030598E"/>
    <w:rsid w:val="00305E39"/>
    <w:rsid w:val="00305E79"/>
    <w:rsid w:val="0030750C"/>
    <w:rsid w:val="00310147"/>
    <w:rsid w:val="003104B3"/>
    <w:rsid w:val="0031057D"/>
    <w:rsid w:val="003107D4"/>
    <w:rsid w:val="00310927"/>
    <w:rsid w:val="0031093C"/>
    <w:rsid w:val="00310A38"/>
    <w:rsid w:val="00310C0A"/>
    <w:rsid w:val="00310D4A"/>
    <w:rsid w:val="00310E9D"/>
    <w:rsid w:val="00311117"/>
    <w:rsid w:val="00311154"/>
    <w:rsid w:val="00311A25"/>
    <w:rsid w:val="00311F08"/>
    <w:rsid w:val="00312617"/>
    <w:rsid w:val="0031290C"/>
    <w:rsid w:val="003130E7"/>
    <w:rsid w:val="00314002"/>
    <w:rsid w:val="00314565"/>
    <w:rsid w:val="003145E7"/>
    <w:rsid w:val="00314817"/>
    <w:rsid w:val="00315174"/>
    <w:rsid w:val="00315483"/>
    <w:rsid w:val="003161B9"/>
    <w:rsid w:val="003164F4"/>
    <w:rsid w:val="00316703"/>
    <w:rsid w:val="00316A0F"/>
    <w:rsid w:val="003171C1"/>
    <w:rsid w:val="00317582"/>
    <w:rsid w:val="00317678"/>
    <w:rsid w:val="00317693"/>
    <w:rsid w:val="00317700"/>
    <w:rsid w:val="00317825"/>
    <w:rsid w:val="00317B18"/>
    <w:rsid w:val="00317CFA"/>
    <w:rsid w:val="003204E5"/>
    <w:rsid w:val="00320758"/>
    <w:rsid w:val="00320AED"/>
    <w:rsid w:val="00321714"/>
    <w:rsid w:val="00321BCA"/>
    <w:rsid w:val="00321CE8"/>
    <w:rsid w:val="00322C67"/>
    <w:rsid w:val="00322ECF"/>
    <w:rsid w:val="0032344A"/>
    <w:rsid w:val="00323609"/>
    <w:rsid w:val="0032395A"/>
    <w:rsid w:val="00323B64"/>
    <w:rsid w:val="00324207"/>
    <w:rsid w:val="00324879"/>
    <w:rsid w:val="00324D92"/>
    <w:rsid w:val="00324D95"/>
    <w:rsid w:val="003251DE"/>
    <w:rsid w:val="00325995"/>
    <w:rsid w:val="003259F1"/>
    <w:rsid w:val="0032735B"/>
    <w:rsid w:val="003276DA"/>
    <w:rsid w:val="00327E3E"/>
    <w:rsid w:val="0033176A"/>
    <w:rsid w:val="00331E35"/>
    <w:rsid w:val="00331EF8"/>
    <w:rsid w:val="0033216B"/>
    <w:rsid w:val="00332AAE"/>
    <w:rsid w:val="00332BB1"/>
    <w:rsid w:val="00333661"/>
    <w:rsid w:val="00333726"/>
    <w:rsid w:val="00333956"/>
    <w:rsid w:val="00334317"/>
    <w:rsid w:val="00334CE4"/>
    <w:rsid w:val="00335084"/>
    <w:rsid w:val="00335287"/>
    <w:rsid w:val="003359CC"/>
    <w:rsid w:val="00335BEB"/>
    <w:rsid w:val="00335D62"/>
    <w:rsid w:val="00336001"/>
    <w:rsid w:val="003361A9"/>
    <w:rsid w:val="00336218"/>
    <w:rsid w:val="0033659B"/>
    <w:rsid w:val="00336C47"/>
    <w:rsid w:val="00337E4A"/>
    <w:rsid w:val="003406B3"/>
    <w:rsid w:val="0034086D"/>
    <w:rsid w:val="00340AD7"/>
    <w:rsid w:val="00341741"/>
    <w:rsid w:val="00342346"/>
    <w:rsid w:val="003427B8"/>
    <w:rsid w:val="00342A28"/>
    <w:rsid w:val="00342B6C"/>
    <w:rsid w:val="003438EA"/>
    <w:rsid w:val="00343A6B"/>
    <w:rsid w:val="00343E5A"/>
    <w:rsid w:val="003450C1"/>
    <w:rsid w:val="003456AF"/>
    <w:rsid w:val="00345947"/>
    <w:rsid w:val="0034597B"/>
    <w:rsid w:val="00345B9D"/>
    <w:rsid w:val="003462B7"/>
    <w:rsid w:val="0034630E"/>
    <w:rsid w:val="00346481"/>
    <w:rsid w:val="00346A3A"/>
    <w:rsid w:val="00346E41"/>
    <w:rsid w:val="00347313"/>
    <w:rsid w:val="00347A9E"/>
    <w:rsid w:val="00347B3E"/>
    <w:rsid w:val="0035021F"/>
    <w:rsid w:val="00350E81"/>
    <w:rsid w:val="00351367"/>
    <w:rsid w:val="00351747"/>
    <w:rsid w:val="00352246"/>
    <w:rsid w:val="0035295D"/>
    <w:rsid w:val="00352A71"/>
    <w:rsid w:val="00352E66"/>
    <w:rsid w:val="00352EA4"/>
    <w:rsid w:val="00354376"/>
    <w:rsid w:val="00354414"/>
    <w:rsid w:val="00354731"/>
    <w:rsid w:val="00354E19"/>
    <w:rsid w:val="00354E28"/>
    <w:rsid w:val="003554CD"/>
    <w:rsid w:val="0035596D"/>
    <w:rsid w:val="0035669E"/>
    <w:rsid w:val="003566ED"/>
    <w:rsid w:val="003567AD"/>
    <w:rsid w:val="00356842"/>
    <w:rsid w:val="00356D22"/>
    <w:rsid w:val="003570E9"/>
    <w:rsid w:val="003570F7"/>
    <w:rsid w:val="00357114"/>
    <w:rsid w:val="00357392"/>
    <w:rsid w:val="0035789E"/>
    <w:rsid w:val="003602D2"/>
    <w:rsid w:val="00360357"/>
    <w:rsid w:val="00360A34"/>
    <w:rsid w:val="00360E38"/>
    <w:rsid w:val="00360F5F"/>
    <w:rsid w:val="0036193C"/>
    <w:rsid w:val="00361E5D"/>
    <w:rsid w:val="003622F5"/>
    <w:rsid w:val="0036240C"/>
    <w:rsid w:val="0036318E"/>
    <w:rsid w:val="00363386"/>
    <w:rsid w:val="003635A6"/>
    <w:rsid w:val="00363705"/>
    <w:rsid w:val="003644F8"/>
    <w:rsid w:val="0036453E"/>
    <w:rsid w:val="0036537E"/>
    <w:rsid w:val="00365443"/>
    <w:rsid w:val="00366839"/>
    <w:rsid w:val="00366D51"/>
    <w:rsid w:val="00367F61"/>
    <w:rsid w:val="003706CE"/>
    <w:rsid w:val="00370D54"/>
    <w:rsid w:val="00371503"/>
    <w:rsid w:val="00371535"/>
    <w:rsid w:val="0037155B"/>
    <w:rsid w:val="00372052"/>
    <w:rsid w:val="00372550"/>
    <w:rsid w:val="00372E54"/>
    <w:rsid w:val="00372F2A"/>
    <w:rsid w:val="00373303"/>
    <w:rsid w:val="003736CF"/>
    <w:rsid w:val="003738BD"/>
    <w:rsid w:val="00374248"/>
    <w:rsid w:val="003747F9"/>
    <w:rsid w:val="00374B08"/>
    <w:rsid w:val="00374BF9"/>
    <w:rsid w:val="003751CF"/>
    <w:rsid w:val="0037534B"/>
    <w:rsid w:val="00375663"/>
    <w:rsid w:val="00375C44"/>
    <w:rsid w:val="00375C62"/>
    <w:rsid w:val="00375E59"/>
    <w:rsid w:val="003764A5"/>
    <w:rsid w:val="00376AB7"/>
    <w:rsid w:val="00376DE3"/>
    <w:rsid w:val="00377574"/>
    <w:rsid w:val="00380C38"/>
    <w:rsid w:val="0038157C"/>
    <w:rsid w:val="0038170F"/>
    <w:rsid w:val="0038175D"/>
    <w:rsid w:val="00381EC3"/>
    <w:rsid w:val="00381FD1"/>
    <w:rsid w:val="003823A0"/>
    <w:rsid w:val="003829D9"/>
    <w:rsid w:val="00382CD9"/>
    <w:rsid w:val="00383CC1"/>
    <w:rsid w:val="00383F39"/>
    <w:rsid w:val="00383FD3"/>
    <w:rsid w:val="00385224"/>
    <w:rsid w:val="00385B74"/>
    <w:rsid w:val="00385BC7"/>
    <w:rsid w:val="00386AAC"/>
    <w:rsid w:val="00386C24"/>
    <w:rsid w:val="00386ECF"/>
    <w:rsid w:val="00387642"/>
    <w:rsid w:val="00387C14"/>
    <w:rsid w:val="00387D9E"/>
    <w:rsid w:val="0039072A"/>
    <w:rsid w:val="0039085E"/>
    <w:rsid w:val="0039159F"/>
    <w:rsid w:val="00391A6C"/>
    <w:rsid w:val="0039259E"/>
    <w:rsid w:val="0039310F"/>
    <w:rsid w:val="0039351D"/>
    <w:rsid w:val="00393573"/>
    <w:rsid w:val="00393647"/>
    <w:rsid w:val="00393A5F"/>
    <w:rsid w:val="00393F7D"/>
    <w:rsid w:val="003940B8"/>
    <w:rsid w:val="003945F8"/>
    <w:rsid w:val="0039472C"/>
    <w:rsid w:val="00395236"/>
    <w:rsid w:val="0039632A"/>
    <w:rsid w:val="003968E9"/>
    <w:rsid w:val="00396CB4"/>
    <w:rsid w:val="00397010"/>
    <w:rsid w:val="00397381"/>
    <w:rsid w:val="003973DC"/>
    <w:rsid w:val="00397FC8"/>
    <w:rsid w:val="003A0606"/>
    <w:rsid w:val="003A14C8"/>
    <w:rsid w:val="003A1E6D"/>
    <w:rsid w:val="003A2891"/>
    <w:rsid w:val="003A2A69"/>
    <w:rsid w:val="003A370B"/>
    <w:rsid w:val="003A395D"/>
    <w:rsid w:val="003A3E81"/>
    <w:rsid w:val="003A40B2"/>
    <w:rsid w:val="003A43BB"/>
    <w:rsid w:val="003A4641"/>
    <w:rsid w:val="003A5894"/>
    <w:rsid w:val="003A5975"/>
    <w:rsid w:val="003A5C1C"/>
    <w:rsid w:val="003A5DBB"/>
    <w:rsid w:val="003A60DB"/>
    <w:rsid w:val="003A6100"/>
    <w:rsid w:val="003A6900"/>
    <w:rsid w:val="003A6BDB"/>
    <w:rsid w:val="003A7139"/>
    <w:rsid w:val="003A7C1C"/>
    <w:rsid w:val="003A7C69"/>
    <w:rsid w:val="003B09A3"/>
    <w:rsid w:val="003B09AC"/>
    <w:rsid w:val="003B0F8F"/>
    <w:rsid w:val="003B1DF3"/>
    <w:rsid w:val="003B234E"/>
    <w:rsid w:val="003B289E"/>
    <w:rsid w:val="003B28F3"/>
    <w:rsid w:val="003B2BC1"/>
    <w:rsid w:val="003B3C3F"/>
    <w:rsid w:val="003B40B9"/>
    <w:rsid w:val="003B4588"/>
    <w:rsid w:val="003B560D"/>
    <w:rsid w:val="003B5731"/>
    <w:rsid w:val="003B5A87"/>
    <w:rsid w:val="003B5D70"/>
    <w:rsid w:val="003B5DF2"/>
    <w:rsid w:val="003B5FDF"/>
    <w:rsid w:val="003B600F"/>
    <w:rsid w:val="003B6404"/>
    <w:rsid w:val="003B6629"/>
    <w:rsid w:val="003B6A7B"/>
    <w:rsid w:val="003B6C55"/>
    <w:rsid w:val="003B70A7"/>
    <w:rsid w:val="003B7B03"/>
    <w:rsid w:val="003B7F91"/>
    <w:rsid w:val="003C01D6"/>
    <w:rsid w:val="003C057F"/>
    <w:rsid w:val="003C0D2C"/>
    <w:rsid w:val="003C117A"/>
    <w:rsid w:val="003C17A1"/>
    <w:rsid w:val="003C265D"/>
    <w:rsid w:val="003C268A"/>
    <w:rsid w:val="003C2AAB"/>
    <w:rsid w:val="003C34B5"/>
    <w:rsid w:val="003C356C"/>
    <w:rsid w:val="003C3A01"/>
    <w:rsid w:val="003C3A95"/>
    <w:rsid w:val="003C3C3C"/>
    <w:rsid w:val="003C3F15"/>
    <w:rsid w:val="003C4152"/>
    <w:rsid w:val="003C56FB"/>
    <w:rsid w:val="003C5CFF"/>
    <w:rsid w:val="003C6B00"/>
    <w:rsid w:val="003C6E96"/>
    <w:rsid w:val="003C7304"/>
    <w:rsid w:val="003C73C1"/>
    <w:rsid w:val="003C7816"/>
    <w:rsid w:val="003C7B02"/>
    <w:rsid w:val="003C7B15"/>
    <w:rsid w:val="003D005E"/>
    <w:rsid w:val="003D0263"/>
    <w:rsid w:val="003D0626"/>
    <w:rsid w:val="003D072E"/>
    <w:rsid w:val="003D1F95"/>
    <w:rsid w:val="003D213C"/>
    <w:rsid w:val="003D24F2"/>
    <w:rsid w:val="003D28B2"/>
    <w:rsid w:val="003D2FB2"/>
    <w:rsid w:val="003D33F5"/>
    <w:rsid w:val="003D3793"/>
    <w:rsid w:val="003D3A56"/>
    <w:rsid w:val="003D3A73"/>
    <w:rsid w:val="003D3F63"/>
    <w:rsid w:val="003D40F4"/>
    <w:rsid w:val="003D47A2"/>
    <w:rsid w:val="003D47FA"/>
    <w:rsid w:val="003D4A7C"/>
    <w:rsid w:val="003D4F6B"/>
    <w:rsid w:val="003D5417"/>
    <w:rsid w:val="003D5829"/>
    <w:rsid w:val="003D61E5"/>
    <w:rsid w:val="003D672C"/>
    <w:rsid w:val="003D6C3A"/>
    <w:rsid w:val="003D73BD"/>
    <w:rsid w:val="003D7B17"/>
    <w:rsid w:val="003D7E48"/>
    <w:rsid w:val="003D7E9C"/>
    <w:rsid w:val="003D7F9C"/>
    <w:rsid w:val="003E0064"/>
    <w:rsid w:val="003E071C"/>
    <w:rsid w:val="003E0D14"/>
    <w:rsid w:val="003E1292"/>
    <w:rsid w:val="003E1498"/>
    <w:rsid w:val="003E15F7"/>
    <w:rsid w:val="003E179D"/>
    <w:rsid w:val="003E17B6"/>
    <w:rsid w:val="003E235B"/>
    <w:rsid w:val="003E27E1"/>
    <w:rsid w:val="003E2838"/>
    <w:rsid w:val="003E2B7F"/>
    <w:rsid w:val="003E2DBE"/>
    <w:rsid w:val="003E3703"/>
    <w:rsid w:val="003E3C7D"/>
    <w:rsid w:val="003E3DCE"/>
    <w:rsid w:val="003E3F1C"/>
    <w:rsid w:val="003E42F8"/>
    <w:rsid w:val="003E4C51"/>
    <w:rsid w:val="003E4F38"/>
    <w:rsid w:val="003E553F"/>
    <w:rsid w:val="003E6AA7"/>
    <w:rsid w:val="003E6AB1"/>
    <w:rsid w:val="003E6C3D"/>
    <w:rsid w:val="003E6D9C"/>
    <w:rsid w:val="003E6F37"/>
    <w:rsid w:val="003E790E"/>
    <w:rsid w:val="003E7AED"/>
    <w:rsid w:val="003E7FF4"/>
    <w:rsid w:val="003F029F"/>
    <w:rsid w:val="003F0B46"/>
    <w:rsid w:val="003F0EBB"/>
    <w:rsid w:val="003F110C"/>
    <w:rsid w:val="003F14BD"/>
    <w:rsid w:val="003F15C7"/>
    <w:rsid w:val="003F16BB"/>
    <w:rsid w:val="003F18EB"/>
    <w:rsid w:val="003F1A4B"/>
    <w:rsid w:val="003F1D87"/>
    <w:rsid w:val="003F2463"/>
    <w:rsid w:val="003F2E9F"/>
    <w:rsid w:val="003F4EB9"/>
    <w:rsid w:val="003F5B28"/>
    <w:rsid w:val="003F5B97"/>
    <w:rsid w:val="003F6841"/>
    <w:rsid w:val="003F6BAA"/>
    <w:rsid w:val="003F6DF7"/>
    <w:rsid w:val="003F7995"/>
    <w:rsid w:val="003F7E0C"/>
    <w:rsid w:val="004002E5"/>
    <w:rsid w:val="004003B5"/>
    <w:rsid w:val="00400AA6"/>
    <w:rsid w:val="0040122E"/>
    <w:rsid w:val="00401346"/>
    <w:rsid w:val="004015F5"/>
    <w:rsid w:val="0040306F"/>
    <w:rsid w:val="00403450"/>
    <w:rsid w:val="004046CA"/>
    <w:rsid w:val="00404CD3"/>
    <w:rsid w:val="00404F9A"/>
    <w:rsid w:val="00405290"/>
    <w:rsid w:val="00405FCB"/>
    <w:rsid w:val="004060A0"/>
    <w:rsid w:val="004060AC"/>
    <w:rsid w:val="0040630B"/>
    <w:rsid w:val="0040636B"/>
    <w:rsid w:val="004064DD"/>
    <w:rsid w:val="00406EAD"/>
    <w:rsid w:val="004070F4"/>
    <w:rsid w:val="0040714B"/>
    <w:rsid w:val="00407283"/>
    <w:rsid w:val="00407387"/>
    <w:rsid w:val="00407A57"/>
    <w:rsid w:val="00407BDA"/>
    <w:rsid w:val="00407D4A"/>
    <w:rsid w:val="00410A2B"/>
    <w:rsid w:val="004114FA"/>
    <w:rsid w:val="004117C1"/>
    <w:rsid w:val="00411B04"/>
    <w:rsid w:val="00411CB1"/>
    <w:rsid w:val="00412912"/>
    <w:rsid w:val="00412CF3"/>
    <w:rsid w:val="00412D1D"/>
    <w:rsid w:val="00412D32"/>
    <w:rsid w:val="00412EEA"/>
    <w:rsid w:val="00413226"/>
    <w:rsid w:val="00413AE6"/>
    <w:rsid w:val="00413CE7"/>
    <w:rsid w:val="00414702"/>
    <w:rsid w:val="0041489A"/>
    <w:rsid w:val="0041494F"/>
    <w:rsid w:val="00414DAF"/>
    <w:rsid w:val="004155FE"/>
    <w:rsid w:val="004156B9"/>
    <w:rsid w:val="0041582D"/>
    <w:rsid w:val="004161B0"/>
    <w:rsid w:val="00416CB3"/>
    <w:rsid w:val="0041715B"/>
    <w:rsid w:val="00417388"/>
    <w:rsid w:val="004205A5"/>
    <w:rsid w:val="0042092D"/>
    <w:rsid w:val="00420CE8"/>
    <w:rsid w:val="00420DEE"/>
    <w:rsid w:val="0042116D"/>
    <w:rsid w:val="00421C2E"/>
    <w:rsid w:val="004221AE"/>
    <w:rsid w:val="004222D4"/>
    <w:rsid w:val="00422329"/>
    <w:rsid w:val="0042283D"/>
    <w:rsid w:val="00422D12"/>
    <w:rsid w:val="00423980"/>
    <w:rsid w:val="00424571"/>
    <w:rsid w:val="00425267"/>
    <w:rsid w:val="00425409"/>
    <w:rsid w:val="00426507"/>
    <w:rsid w:val="004269D5"/>
    <w:rsid w:val="00426B1C"/>
    <w:rsid w:val="00426BD1"/>
    <w:rsid w:val="00426D26"/>
    <w:rsid w:val="00427167"/>
    <w:rsid w:val="00427667"/>
    <w:rsid w:val="00427A41"/>
    <w:rsid w:val="00427C04"/>
    <w:rsid w:val="00430867"/>
    <w:rsid w:val="0043120C"/>
    <w:rsid w:val="004312E4"/>
    <w:rsid w:val="0043148B"/>
    <w:rsid w:val="00431799"/>
    <w:rsid w:val="0043226D"/>
    <w:rsid w:val="004330CD"/>
    <w:rsid w:val="00433856"/>
    <w:rsid w:val="00433B3F"/>
    <w:rsid w:val="004342EE"/>
    <w:rsid w:val="00434649"/>
    <w:rsid w:val="00434D55"/>
    <w:rsid w:val="004355A6"/>
    <w:rsid w:val="00435755"/>
    <w:rsid w:val="004359C9"/>
    <w:rsid w:val="00435D3E"/>
    <w:rsid w:val="004364F0"/>
    <w:rsid w:val="00436A0B"/>
    <w:rsid w:val="004372E3"/>
    <w:rsid w:val="004375D2"/>
    <w:rsid w:val="00437A3E"/>
    <w:rsid w:val="004406DD"/>
    <w:rsid w:val="0044114E"/>
    <w:rsid w:val="004411BB"/>
    <w:rsid w:val="004414DB"/>
    <w:rsid w:val="004415F1"/>
    <w:rsid w:val="0044162A"/>
    <w:rsid w:val="0044272D"/>
    <w:rsid w:val="00442910"/>
    <w:rsid w:val="00442BAE"/>
    <w:rsid w:val="0044303D"/>
    <w:rsid w:val="00443230"/>
    <w:rsid w:val="00443488"/>
    <w:rsid w:val="00444154"/>
    <w:rsid w:val="004442B4"/>
    <w:rsid w:val="004445B6"/>
    <w:rsid w:val="00444966"/>
    <w:rsid w:val="00444CC6"/>
    <w:rsid w:val="004452EA"/>
    <w:rsid w:val="00445476"/>
    <w:rsid w:val="004456A5"/>
    <w:rsid w:val="004456F1"/>
    <w:rsid w:val="0044586D"/>
    <w:rsid w:val="004466D6"/>
    <w:rsid w:val="00446ADE"/>
    <w:rsid w:val="004471EC"/>
    <w:rsid w:val="00447262"/>
    <w:rsid w:val="004473FF"/>
    <w:rsid w:val="00447669"/>
    <w:rsid w:val="00447CB6"/>
    <w:rsid w:val="00447FBA"/>
    <w:rsid w:val="00450155"/>
    <w:rsid w:val="004501EA"/>
    <w:rsid w:val="0045097B"/>
    <w:rsid w:val="00452C42"/>
    <w:rsid w:val="00452F4B"/>
    <w:rsid w:val="004547FB"/>
    <w:rsid w:val="00454ABD"/>
    <w:rsid w:val="00455407"/>
    <w:rsid w:val="00455DE6"/>
    <w:rsid w:val="00455F13"/>
    <w:rsid w:val="00456821"/>
    <w:rsid w:val="00456ED8"/>
    <w:rsid w:val="0045760D"/>
    <w:rsid w:val="004606CF"/>
    <w:rsid w:val="00461335"/>
    <w:rsid w:val="0046171E"/>
    <w:rsid w:val="00461805"/>
    <w:rsid w:val="00462024"/>
    <w:rsid w:val="004627C6"/>
    <w:rsid w:val="00462DB6"/>
    <w:rsid w:val="00462E07"/>
    <w:rsid w:val="00463458"/>
    <w:rsid w:val="00463835"/>
    <w:rsid w:val="004638BE"/>
    <w:rsid w:val="0046419D"/>
    <w:rsid w:val="00464CD7"/>
    <w:rsid w:val="00464E3C"/>
    <w:rsid w:val="004659CA"/>
    <w:rsid w:val="00465BF0"/>
    <w:rsid w:val="0046606D"/>
    <w:rsid w:val="00466736"/>
    <w:rsid w:val="004667CB"/>
    <w:rsid w:val="00466A6B"/>
    <w:rsid w:val="004670D8"/>
    <w:rsid w:val="0046737B"/>
    <w:rsid w:val="004673C7"/>
    <w:rsid w:val="00467CFD"/>
    <w:rsid w:val="0047015C"/>
    <w:rsid w:val="004715A8"/>
    <w:rsid w:val="004718BC"/>
    <w:rsid w:val="00471D15"/>
    <w:rsid w:val="00471DF9"/>
    <w:rsid w:val="0047251E"/>
    <w:rsid w:val="00472572"/>
    <w:rsid w:val="00472D4F"/>
    <w:rsid w:val="0047345D"/>
    <w:rsid w:val="00474319"/>
    <w:rsid w:val="00474C94"/>
    <w:rsid w:val="00474CC6"/>
    <w:rsid w:val="00475070"/>
    <w:rsid w:val="0047534A"/>
    <w:rsid w:val="00475446"/>
    <w:rsid w:val="004760B5"/>
    <w:rsid w:val="0047770C"/>
    <w:rsid w:val="0047797D"/>
    <w:rsid w:val="00480955"/>
    <w:rsid w:val="004810F0"/>
    <w:rsid w:val="00481A83"/>
    <w:rsid w:val="00481AC9"/>
    <w:rsid w:val="00483075"/>
    <w:rsid w:val="004832D2"/>
    <w:rsid w:val="004838BA"/>
    <w:rsid w:val="00483F97"/>
    <w:rsid w:val="00484057"/>
    <w:rsid w:val="00484254"/>
    <w:rsid w:val="00484C4F"/>
    <w:rsid w:val="00484D96"/>
    <w:rsid w:val="004854BC"/>
    <w:rsid w:val="00486408"/>
    <w:rsid w:val="00486A10"/>
    <w:rsid w:val="00486DB1"/>
    <w:rsid w:val="00487F7B"/>
    <w:rsid w:val="00490089"/>
    <w:rsid w:val="004907A8"/>
    <w:rsid w:val="00490F1C"/>
    <w:rsid w:val="0049130E"/>
    <w:rsid w:val="00491930"/>
    <w:rsid w:val="0049196C"/>
    <w:rsid w:val="00492089"/>
    <w:rsid w:val="004925DE"/>
    <w:rsid w:val="00492681"/>
    <w:rsid w:val="00492837"/>
    <w:rsid w:val="00492B26"/>
    <w:rsid w:val="0049310B"/>
    <w:rsid w:val="00493337"/>
    <w:rsid w:val="0049362A"/>
    <w:rsid w:val="00493748"/>
    <w:rsid w:val="004941FC"/>
    <w:rsid w:val="00495024"/>
    <w:rsid w:val="00495871"/>
    <w:rsid w:val="00495C04"/>
    <w:rsid w:val="00495C8D"/>
    <w:rsid w:val="00496E11"/>
    <w:rsid w:val="00496FAB"/>
    <w:rsid w:val="0049753F"/>
    <w:rsid w:val="00497594"/>
    <w:rsid w:val="004A01B6"/>
    <w:rsid w:val="004A0392"/>
    <w:rsid w:val="004A062E"/>
    <w:rsid w:val="004A077B"/>
    <w:rsid w:val="004A0F29"/>
    <w:rsid w:val="004A120A"/>
    <w:rsid w:val="004A1681"/>
    <w:rsid w:val="004A1732"/>
    <w:rsid w:val="004A192E"/>
    <w:rsid w:val="004A1F81"/>
    <w:rsid w:val="004A2AC7"/>
    <w:rsid w:val="004A2FD2"/>
    <w:rsid w:val="004A3039"/>
    <w:rsid w:val="004A33BD"/>
    <w:rsid w:val="004A3FC7"/>
    <w:rsid w:val="004A441A"/>
    <w:rsid w:val="004A4850"/>
    <w:rsid w:val="004A4E72"/>
    <w:rsid w:val="004A5181"/>
    <w:rsid w:val="004A56DB"/>
    <w:rsid w:val="004A583A"/>
    <w:rsid w:val="004A5D03"/>
    <w:rsid w:val="004A6095"/>
    <w:rsid w:val="004A6327"/>
    <w:rsid w:val="004A693F"/>
    <w:rsid w:val="004A7485"/>
    <w:rsid w:val="004A75C2"/>
    <w:rsid w:val="004A7B45"/>
    <w:rsid w:val="004B042F"/>
    <w:rsid w:val="004B045C"/>
    <w:rsid w:val="004B067E"/>
    <w:rsid w:val="004B077C"/>
    <w:rsid w:val="004B0A8C"/>
    <w:rsid w:val="004B0C34"/>
    <w:rsid w:val="004B102E"/>
    <w:rsid w:val="004B12FD"/>
    <w:rsid w:val="004B1992"/>
    <w:rsid w:val="004B21D0"/>
    <w:rsid w:val="004B2413"/>
    <w:rsid w:val="004B2494"/>
    <w:rsid w:val="004B2960"/>
    <w:rsid w:val="004B2EBF"/>
    <w:rsid w:val="004B2F95"/>
    <w:rsid w:val="004B3000"/>
    <w:rsid w:val="004B30A3"/>
    <w:rsid w:val="004B31B1"/>
    <w:rsid w:val="004B3CEE"/>
    <w:rsid w:val="004B446D"/>
    <w:rsid w:val="004B475E"/>
    <w:rsid w:val="004B492C"/>
    <w:rsid w:val="004B4E96"/>
    <w:rsid w:val="004B4F29"/>
    <w:rsid w:val="004B562C"/>
    <w:rsid w:val="004B5D27"/>
    <w:rsid w:val="004B5EF9"/>
    <w:rsid w:val="004B5FBF"/>
    <w:rsid w:val="004B6051"/>
    <w:rsid w:val="004B6056"/>
    <w:rsid w:val="004B70D3"/>
    <w:rsid w:val="004B71BF"/>
    <w:rsid w:val="004B754B"/>
    <w:rsid w:val="004B75D1"/>
    <w:rsid w:val="004B79B4"/>
    <w:rsid w:val="004C0170"/>
    <w:rsid w:val="004C0978"/>
    <w:rsid w:val="004C0C0B"/>
    <w:rsid w:val="004C10EF"/>
    <w:rsid w:val="004C12A3"/>
    <w:rsid w:val="004C1640"/>
    <w:rsid w:val="004C17F2"/>
    <w:rsid w:val="004C1E4E"/>
    <w:rsid w:val="004C241E"/>
    <w:rsid w:val="004C2473"/>
    <w:rsid w:val="004C2504"/>
    <w:rsid w:val="004C2BCA"/>
    <w:rsid w:val="004C3323"/>
    <w:rsid w:val="004C389A"/>
    <w:rsid w:val="004C424E"/>
    <w:rsid w:val="004C4F26"/>
    <w:rsid w:val="004C55FD"/>
    <w:rsid w:val="004C60B4"/>
    <w:rsid w:val="004C6417"/>
    <w:rsid w:val="004C6BCB"/>
    <w:rsid w:val="004C6C52"/>
    <w:rsid w:val="004C6E91"/>
    <w:rsid w:val="004C7006"/>
    <w:rsid w:val="004C7453"/>
    <w:rsid w:val="004C796F"/>
    <w:rsid w:val="004D077D"/>
    <w:rsid w:val="004D09C1"/>
    <w:rsid w:val="004D2078"/>
    <w:rsid w:val="004D2A50"/>
    <w:rsid w:val="004D349C"/>
    <w:rsid w:val="004D3643"/>
    <w:rsid w:val="004D419A"/>
    <w:rsid w:val="004D4540"/>
    <w:rsid w:val="004D4816"/>
    <w:rsid w:val="004D4E8B"/>
    <w:rsid w:val="004D5026"/>
    <w:rsid w:val="004D52D2"/>
    <w:rsid w:val="004D53D6"/>
    <w:rsid w:val="004D611D"/>
    <w:rsid w:val="004D6EA8"/>
    <w:rsid w:val="004D7E56"/>
    <w:rsid w:val="004D7EFB"/>
    <w:rsid w:val="004E0E0E"/>
    <w:rsid w:val="004E0E46"/>
    <w:rsid w:val="004E19A4"/>
    <w:rsid w:val="004E1B3F"/>
    <w:rsid w:val="004E213A"/>
    <w:rsid w:val="004E2948"/>
    <w:rsid w:val="004E2D58"/>
    <w:rsid w:val="004E339C"/>
    <w:rsid w:val="004E37B5"/>
    <w:rsid w:val="004E3A8E"/>
    <w:rsid w:val="004E3B73"/>
    <w:rsid w:val="004E4416"/>
    <w:rsid w:val="004E4584"/>
    <w:rsid w:val="004E49C5"/>
    <w:rsid w:val="004E516F"/>
    <w:rsid w:val="004E51F2"/>
    <w:rsid w:val="004E5238"/>
    <w:rsid w:val="004E5BFC"/>
    <w:rsid w:val="004E5CA3"/>
    <w:rsid w:val="004E617D"/>
    <w:rsid w:val="004E6304"/>
    <w:rsid w:val="004E6B6C"/>
    <w:rsid w:val="004E7460"/>
    <w:rsid w:val="004E754F"/>
    <w:rsid w:val="004E7F58"/>
    <w:rsid w:val="004F01CD"/>
    <w:rsid w:val="004F1124"/>
    <w:rsid w:val="004F15E8"/>
    <w:rsid w:val="004F1EA4"/>
    <w:rsid w:val="004F20E3"/>
    <w:rsid w:val="004F268C"/>
    <w:rsid w:val="004F2801"/>
    <w:rsid w:val="004F2AB0"/>
    <w:rsid w:val="004F2CD1"/>
    <w:rsid w:val="004F3F8E"/>
    <w:rsid w:val="004F4117"/>
    <w:rsid w:val="004F47E1"/>
    <w:rsid w:val="004F4D27"/>
    <w:rsid w:val="004F4E7B"/>
    <w:rsid w:val="004F570E"/>
    <w:rsid w:val="004F6205"/>
    <w:rsid w:val="004F6EEA"/>
    <w:rsid w:val="004F751D"/>
    <w:rsid w:val="004F7F62"/>
    <w:rsid w:val="00500072"/>
    <w:rsid w:val="00500C18"/>
    <w:rsid w:val="00500D38"/>
    <w:rsid w:val="0050117E"/>
    <w:rsid w:val="005015D0"/>
    <w:rsid w:val="005016C7"/>
    <w:rsid w:val="005017E6"/>
    <w:rsid w:val="0050282B"/>
    <w:rsid w:val="0050378E"/>
    <w:rsid w:val="005038EA"/>
    <w:rsid w:val="0050419A"/>
    <w:rsid w:val="005058F5"/>
    <w:rsid w:val="00505C7F"/>
    <w:rsid w:val="005066ED"/>
    <w:rsid w:val="00506956"/>
    <w:rsid w:val="00507006"/>
    <w:rsid w:val="005075E4"/>
    <w:rsid w:val="005100AC"/>
    <w:rsid w:val="00510BFA"/>
    <w:rsid w:val="0051122D"/>
    <w:rsid w:val="00511637"/>
    <w:rsid w:val="0051197A"/>
    <w:rsid w:val="00511EBA"/>
    <w:rsid w:val="00511FAC"/>
    <w:rsid w:val="00512535"/>
    <w:rsid w:val="00512A19"/>
    <w:rsid w:val="00512A2B"/>
    <w:rsid w:val="00513C47"/>
    <w:rsid w:val="00513EAF"/>
    <w:rsid w:val="005146E7"/>
    <w:rsid w:val="00514978"/>
    <w:rsid w:val="00514CD3"/>
    <w:rsid w:val="00515488"/>
    <w:rsid w:val="005160F0"/>
    <w:rsid w:val="00516945"/>
    <w:rsid w:val="00517AA2"/>
    <w:rsid w:val="00517BDA"/>
    <w:rsid w:val="00520553"/>
    <w:rsid w:val="00520AA5"/>
    <w:rsid w:val="00521B82"/>
    <w:rsid w:val="00521EDD"/>
    <w:rsid w:val="0052219E"/>
    <w:rsid w:val="0052360E"/>
    <w:rsid w:val="0052369A"/>
    <w:rsid w:val="0052405F"/>
    <w:rsid w:val="00524333"/>
    <w:rsid w:val="00524588"/>
    <w:rsid w:val="005245E8"/>
    <w:rsid w:val="005251B5"/>
    <w:rsid w:val="00525452"/>
    <w:rsid w:val="005257A3"/>
    <w:rsid w:val="005258EE"/>
    <w:rsid w:val="005259E5"/>
    <w:rsid w:val="00525B8C"/>
    <w:rsid w:val="005265B4"/>
    <w:rsid w:val="00526D51"/>
    <w:rsid w:val="0053023E"/>
    <w:rsid w:val="005312A4"/>
    <w:rsid w:val="00532C4B"/>
    <w:rsid w:val="0053335C"/>
    <w:rsid w:val="00533FB5"/>
    <w:rsid w:val="0053415E"/>
    <w:rsid w:val="005347A6"/>
    <w:rsid w:val="005348B7"/>
    <w:rsid w:val="0053535C"/>
    <w:rsid w:val="00535599"/>
    <w:rsid w:val="005356E5"/>
    <w:rsid w:val="00535F0E"/>
    <w:rsid w:val="00535F58"/>
    <w:rsid w:val="0053645A"/>
    <w:rsid w:val="00536D6D"/>
    <w:rsid w:val="00537239"/>
    <w:rsid w:val="00537598"/>
    <w:rsid w:val="005379DA"/>
    <w:rsid w:val="00537CCE"/>
    <w:rsid w:val="00537EDB"/>
    <w:rsid w:val="005405FC"/>
    <w:rsid w:val="00540B83"/>
    <w:rsid w:val="00540C9F"/>
    <w:rsid w:val="00540EA3"/>
    <w:rsid w:val="0054104F"/>
    <w:rsid w:val="0054157F"/>
    <w:rsid w:val="00541A05"/>
    <w:rsid w:val="00541BA9"/>
    <w:rsid w:val="005427BE"/>
    <w:rsid w:val="0054283A"/>
    <w:rsid w:val="00542863"/>
    <w:rsid w:val="005429A6"/>
    <w:rsid w:val="00542AD8"/>
    <w:rsid w:val="00542BB6"/>
    <w:rsid w:val="005433ED"/>
    <w:rsid w:val="005436E2"/>
    <w:rsid w:val="00543973"/>
    <w:rsid w:val="00544296"/>
    <w:rsid w:val="0054430C"/>
    <w:rsid w:val="005444C0"/>
    <w:rsid w:val="00544ADD"/>
    <w:rsid w:val="00544CA4"/>
    <w:rsid w:val="00544DD1"/>
    <w:rsid w:val="005464D8"/>
    <w:rsid w:val="005467DB"/>
    <w:rsid w:val="005468B5"/>
    <w:rsid w:val="005476E2"/>
    <w:rsid w:val="005478A3"/>
    <w:rsid w:val="0054796D"/>
    <w:rsid w:val="00547DC2"/>
    <w:rsid w:val="005509C4"/>
    <w:rsid w:val="00550B86"/>
    <w:rsid w:val="00550EC3"/>
    <w:rsid w:val="00550FDF"/>
    <w:rsid w:val="00551071"/>
    <w:rsid w:val="005510AC"/>
    <w:rsid w:val="0055136F"/>
    <w:rsid w:val="00552061"/>
    <w:rsid w:val="00553709"/>
    <w:rsid w:val="005538F1"/>
    <w:rsid w:val="00553BA4"/>
    <w:rsid w:val="00553DFA"/>
    <w:rsid w:val="0055442C"/>
    <w:rsid w:val="0055489B"/>
    <w:rsid w:val="005564B9"/>
    <w:rsid w:val="00557A49"/>
    <w:rsid w:val="00557DBF"/>
    <w:rsid w:val="005603F8"/>
    <w:rsid w:val="005605BA"/>
    <w:rsid w:val="00560AE3"/>
    <w:rsid w:val="00561041"/>
    <w:rsid w:val="00561F7E"/>
    <w:rsid w:val="00562113"/>
    <w:rsid w:val="00562FAB"/>
    <w:rsid w:val="00562FFC"/>
    <w:rsid w:val="005639E6"/>
    <w:rsid w:val="00563D80"/>
    <w:rsid w:val="005644B9"/>
    <w:rsid w:val="005648B8"/>
    <w:rsid w:val="0056518B"/>
    <w:rsid w:val="00565802"/>
    <w:rsid w:val="00565FFE"/>
    <w:rsid w:val="00566123"/>
    <w:rsid w:val="0056713B"/>
    <w:rsid w:val="005678FA"/>
    <w:rsid w:val="00570C33"/>
    <w:rsid w:val="0057169D"/>
    <w:rsid w:val="00571C60"/>
    <w:rsid w:val="00571F45"/>
    <w:rsid w:val="00572224"/>
    <w:rsid w:val="00573872"/>
    <w:rsid w:val="00574982"/>
    <w:rsid w:val="00575012"/>
    <w:rsid w:val="00575387"/>
    <w:rsid w:val="00575E21"/>
    <w:rsid w:val="005762DA"/>
    <w:rsid w:val="00576596"/>
    <w:rsid w:val="005767E9"/>
    <w:rsid w:val="00576B4A"/>
    <w:rsid w:val="00577016"/>
    <w:rsid w:val="0057707B"/>
    <w:rsid w:val="00577282"/>
    <w:rsid w:val="005773AA"/>
    <w:rsid w:val="00577920"/>
    <w:rsid w:val="00577AB9"/>
    <w:rsid w:val="00580587"/>
    <w:rsid w:val="00580B06"/>
    <w:rsid w:val="00580F3E"/>
    <w:rsid w:val="00581526"/>
    <w:rsid w:val="00581D32"/>
    <w:rsid w:val="00581F8B"/>
    <w:rsid w:val="00582B4A"/>
    <w:rsid w:val="00582BFA"/>
    <w:rsid w:val="005831D1"/>
    <w:rsid w:val="005836F2"/>
    <w:rsid w:val="00583721"/>
    <w:rsid w:val="00584470"/>
    <w:rsid w:val="005848D6"/>
    <w:rsid w:val="00584E90"/>
    <w:rsid w:val="00585011"/>
    <w:rsid w:val="0058568B"/>
    <w:rsid w:val="00585925"/>
    <w:rsid w:val="005865D6"/>
    <w:rsid w:val="00586A54"/>
    <w:rsid w:val="005874CD"/>
    <w:rsid w:val="00590322"/>
    <w:rsid w:val="0059043A"/>
    <w:rsid w:val="0059053F"/>
    <w:rsid w:val="00590BB4"/>
    <w:rsid w:val="00590C64"/>
    <w:rsid w:val="00590CB2"/>
    <w:rsid w:val="00590E14"/>
    <w:rsid w:val="00590EB0"/>
    <w:rsid w:val="0059144F"/>
    <w:rsid w:val="00593AB8"/>
    <w:rsid w:val="00593F00"/>
    <w:rsid w:val="00595008"/>
    <w:rsid w:val="0059525C"/>
    <w:rsid w:val="00595595"/>
    <w:rsid w:val="00596131"/>
    <w:rsid w:val="00596BBD"/>
    <w:rsid w:val="00596E00"/>
    <w:rsid w:val="005A02A9"/>
    <w:rsid w:val="005A06AE"/>
    <w:rsid w:val="005A0CD8"/>
    <w:rsid w:val="005A1A1D"/>
    <w:rsid w:val="005A1C32"/>
    <w:rsid w:val="005A26ED"/>
    <w:rsid w:val="005A298E"/>
    <w:rsid w:val="005A2B6B"/>
    <w:rsid w:val="005A36F8"/>
    <w:rsid w:val="005A465F"/>
    <w:rsid w:val="005A4A24"/>
    <w:rsid w:val="005A4C6F"/>
    <w:rsid w:val="005A4D89"/>
    <w:rsid w:val="005A5157"/>
    <w:rsid w:val="005A542A"/>
    <w:rsid w:val="005A5882"/>
    <w:rsid w:val="005A6ECA"/>
    <w:rsid w:val="005A7764"/>
    <w:rsid w:val="005A7959"/>
    <w:rsid w:val="005B1007"/>
    <w:rsid w:val="005B1309"/>
    <w:rsid w:val="005B1938"/>
    <w:rsid w:val="005B1AF1"/>
    <w:rsid w:val="005B1F1E"/>
    <w:rsid w:val="005B2AEF"/>
    <w:rsid w:val="005B312E"/>
    <w:rsid w:val="005B33A5"/>
    <w:rsid w:val="005B33F7"/>
    <w:rsid w:val="005B3C74"/>
    <w:rsid w:val="005B3E4D"/>
    <w:rsid w:val="005B496E"/>
    <w:rsid w:val="005B4D89"/>
    <w:rsid w:val="005B5532"/>
    <w:rsid w:val="005B5A3A"/>
    <w:rsid w:val="005B5CB7"/>
    <w:rsid w:val="005B5DDC"/>
    <w:rsid w:val="005B6E21"/>
    <w:rsid w:val="005B6E77"/>
    <w:rsid w:val="005B78E7"/>
    <w:rsid w:val="005C0A50"/>
    <w:rsid w:val="005C0F30"/>
    <w:rsid w:val="005C1005"/>
    <w:rsid w:val="005C1A41"/>
    <w:rsid w:val="005C2380"/>
    <w:rsid w:val="005C291D"/>
    <w:rsid w:val="005C29FE"/>
    <w:rsid w:val="005C2A88"/>
    <w:rsid w:val="005C3506"/>
    <w:rsid w:val="005C38A2"/>
    <w:rsid w:val="005C3CCC"/>
    <w:rsid w:val="005C3EB4"/>
    <w:rsid w:val="005C40B2"/>
    <w:rsid w:val="005C4210"/>
    <w:rsid w:val="005C4768"/>
    <w:rsid w:val="005C4A3E"/>
    <w:rsid w:val="005C4F4F"/>
    <w:rsid w:val="005C4FE7"/>
    <w:rsid w:val="005C533C"/>
    <w:rsid w:val="005C55A4"/>
    <w:rsid w:val="005C57E8"/>
    <w:rsid w:val="005C605E"/>
    <w:rsid w:val="005C60A8"/>
    <w:rsid w:val="005C69CD"/>
    <w:rsid w:val="005C6DE7"/>
    <w:rsid w:val="005C6E80"/>
    <w:rsid w:val="005C70AE"/>
    <w:rsid w:val="005C780D"/>
    <w:rsid w:val="005C7E11"/>
    <w:rsid w:val="005D05A7"/>
    <w:rsid w:val="005D064E"/>
    <w:rsid w:val="005D0BB0"/>
    <w:rsid w:val="005D1110"/>
    <w:rsid w:val="005D1476"/>
    <w:rsid w:val="005D1DA5"/>
    <w:rsid w:val="005D25CA"/>
    <w:rsid w:val="005D4072"/>
    <w:rsid w:val="005D4A72"/>
    <w:rsid w:val="005D4C30"/>
    <w:rsid w:val="005D4C6A"/>
    <w:rsid w:val="005D5017"/>
    <w:rsid w:val="005D5228"/>
    <w:rsid w:val="005D54EB"/>
    <w:rsid w:val="005D65E0"/>
    <w:rsid w:val="005D6A36"/>
    <w:rsid w:val="005D7111"/>
    <w:rsid w:val="005D7A88"/>
    <w:rsid w:val="005E0547"/>
    <w:rsid w:val="005E08A1"/>
    <w:rsid w:val="005E0A47"/>
    <w:rsid w:val="005E0C54"/>
    <w:rsid w:val="005E0D86"/>
    <w:rsid w:val="005E0DE0"/>
    <w:rsid w:val="005E1293"/>
    <w:rsid w:val="005E1773"/>
    <w:rsid w:val="005E1CA1"/>
    <w:rsid w:val="005E1CA6"/>
    <w:rsid w:val="005E2410"/>
    <w:rsid w:val="005E28B3"/>
    <w:rsid w:val="005E3593"/>
    <w:rsid w:val="005E408F"/>
    <w:rsid w:val="005E4A7A"/>
    <w:rsid w:val="005E5019"/>
    <w:rsid w:val="005E5131"/>
    <w:rsid w:val="005E51B8"/>
    <w:rsid w:val="005E5E6D"/>
    <w:rsid w:val="005E601B"/>
    <w:rsid w:val="005E6505"/>
    <w:rsid w:val="005E6A3C"/>
    <w:rsid w:val="005E6A95"/>
    <w:rsid w:val="005E72BF"/>
    <w:rsid w:val="005E75EB"/>
    <w:rsid w:val="005E79F1"/>
    <w:rsid w:val="005E7A7C"/>
    <w:rsid w:val="005F02F9"/>
    <w:rsid w:val="005F03F6"/>
    <w:rsid w:val="005F043E"/>
    <w:rsid w:val="005F0B96"/>
    <w:rsid w:val="005F10AF"/>
    <w:rsid w:val="005F1B38"/>
    <w:rsid w:val="005F1B55"/>
    <w:rsid w:val="005F1BF6"/>
    <w:rsid w:val="005F2098"/>
    <w:rsid w:val="005F2407"/>
    <w:rsid w:val="005F2B2D"/>
    <w:rsid w:val="005F3096"/>
    <w:rsid w:val="005F3893"/>
    <w:rsid w:val="005F3D55"/>
    <w:rsid w:val="005F418B"/>
    <w:rsid w:val="005F42BB"/>
    <w:rsid w:val="005F43D6"/>
    <w:rsid w:val="005F45DB"/>
    <w:rsid w:val="005F4735"/>
    <w:rsid w:val="005F4F28"/>
    <w:rsid w:val="005F56E5"/>
    <w:rsid w:val="005F57F7"/>
    <w:rsid w:val="005F5963"/>
    <w:rsid w:val="005F5D39"/>
    <w:rsid w:val="005F6585"/>
    <w:rsid w:val="005F6712"/>
    <w:rsid w:val="005F7EAB"/>
    <w:rsid w:val="0060013D"/>
    <w:rsid w:val="0060098E"/>
    <w:rsid w:val="00600CD9"/>
    <w:rsid w:val="00601019"/>
    <w:rsid w:val="00601034"/>
    <w:rsid w:val="006015FD"/>
    <w:rsid w:val="00601638"/>
    <w:rsid w:val="0060226F"/>
    <w:rsid w:val="0060228F"/>
    <w:rsid w:val="006023C9"/>
    <w:rsid w:val="00602AD9"/>
    <w:rsid w:val="006032DE"/>
    <w:rsid w:val="006034FD"/>
    <w:rsid w:val="006039AF"/>
    <w:rsid w:val="00603ADC"/>
    <w:rsid w:val="00605322"/>
    <w:rsid w:val="0060563A"/>
    <w:rsid w:val="006068AC"/>
    <w:rsid w:val="0060751D"/>
    <w:rsid w:val="0060768D"/>
    <w:rsid w:val="006076A6"/>
    <w:rsid w:val="00607E6C"/>
    <w:rsid w:val="00607FC4"/>
    <w:rsid w:val="00610460"/>
    <w:rsid w:val="006107D6"/>
    <w:rsid w:val="00611FD0"/>
    <w:rsid w:val="00612096"/>
    <w:rsid w:val="00612449"/>
    <w:rsid w:val="006126DD"/>
    <w:rsid w:val="00612B88"/>
    <w:rsid w:val="006133BB"/>
    <w:rsid w:val="00614682"/>
    <w:rsid w:val="0061477E"/>
    <w:rsid w:val="006148AC"/>
    <w:rsid w:val="0061522C"/>
    <w:rsid w:val="006153E1"/>
    <w:rsid w:val="00615C1B"/>
    <w:rsid w:val="00615F59"/>
    <w:rsid w:val="00616764"/>
    <w:rsid w:val="006168CD"/>
    <w:rsid w:val="006168FA"/>
    <w:rsid w:val="00617E0F"/>
    <w:rsid w:val="00620891"/>
    <w:rsid w:val="0062098E"/>
    <w:rsid w:val="00620C7B"/>
    <w:rsid w:val="00620DF9"/>
    <w:rsid w:val="00622B38"/>
    <w:rsid w:val="00622EBC"/>
    <w:rsid w:val="0062333B"/>
    <w:rsid w:val="006237FB"/>
    <w:rsid w:val="00623A7D"/>
    <w:rsid w:val="00624106"/>
    <w:rsid w:val="00624433"/>
    <w:rsid w:val="00625084"/>
    <w:rsid w:val="00625B2A"/>
    <w:rsid w:val="00625E20"/>
    <w:rsid w:val="0062652D"/>
    <w:rsid w:val="00626C82"/>
    <w:rsid w:val="00626D84"/>
    <w:rsid w:val="00626DC4"/>
    <w:rsid w:val="00627565"/>
    <w:rsid w:val="00627648"/>
    <w:rsid w:val="006313C6"/>
    <w:rsid w:val="00631623"/>
    <w:rsid w:val="00631A1D"/>
    <w:rsid w:val="00631B79"/>
    <w:rsid w:val="00631BC8"/>
    <w:rsid w:val="00631D7E"/>
    <w:rsid w:val="00632A34"/>
    <w:rsid w:val="006338BF"/>
    <w:rsid w:val="00633F28"/>
    <w:rsid w:val="00635514"/>
    <w:rsid w:val="0063587E"/>
    <w:rsid w:val="006358E3"/>
    <w:rsid w:val="00635E12"/>
    <w:rsid w:val="00635E59"/>
    <w:rsid w:val="0063606B"/>
    <w:rsid w:val="00636202"/>
    <w:rsid w:val="0063635C"/>
    <w:rsid w:val="00636BA6"/>
    <w:rsid w:val="006370E6"/>
    <w:rsid w:val="00637BDA"/>
    <w:rsid w:val="00637DD2"/>
    <w:rsid w:val="0064020A"/>
    <w:rsid w:val="0064097B"/>
    <w:rsid w:val="00640C68"/>
    <w:rsid w:val="00641E83"/>
    <w:rsid w:val="00641F06"/>
    <w:rsid w:val="00641F65"/>
    <w:rsid w:val="0064237F"/>
    <w:rsid w:val="006423D9"/>
    <w:rsid w:val="00642904"/>
    <w:rsid w:val="00642AD3"/>
    <w:rsid w:val="00642E88"/>
    <w:rsid w:val="006443E5"/>
    <w:rsid w:val="006444E0"/>
    <w:rsid w:val="006447A4"/>
    <w:rsid w:val="006448D5"/>
    <w:rsid w:val="00645484"/>
    <w:rsid w:val="00645711"/>
    <w:rsid w:val="00645EEF"/>
    <w:rsid w:val="00646174"/>
    <w:rsid w:val="0064618C"/>
    <w:rsid w:val="006466F6"/>
    <w:rsid w:val="00647D69"/>
    <w:rsid w:val="00650361"/>
    <w:rsid w:val="006513AD"/>
    <w:rsid w:val="00651483"/>
    <w:rsid w:val="00651DE6"/>
    <w:rsid w:val="0065212F"/>
    <w:rsid w:val="00652184"/>
    <w:rsid w:val="00652817"/>
    <w:rsid w:val="0065317B"/>
    <w:rsid w:val="00653199"/>
    <w:rsid w:val="00653AB2"/>
    <w:rsid w:val="00654343"/>
    <w:rsid w:val="0065494D"/>
    <w:rsid w:val="00654963"/>
    <w:rsid w:val="0065590A"/>
    <w:rsid w:val="00655CAF"/>
    <w:rsid w:val="00657110"/>
    <w:rsid w:val="00657F22"/>
    <w:rsid w:val="006600CC"/>
    <w:rsid w:val="0066058B"/>
    <w:rsid w:val="00660C33"/>
    <w:rsid w:val="006612E1"/>
    <w:rsid w:val="006618CE"/>
    <w:rsid w:val="0066197E"/>
    <w:rsid w:val="00661B7D"/>
    <w:rsid w:val="00661C90"/>
    <w:rsid w:val="00662682"/>
    <w:rsid w:val="00663BD9"/>
    <w:rsid w:val="006658E8"/>
    <w:rsid w:val="006662E2"/>
    <w:rsid w:val="0066659F"/>
    <w:rsid w:val="00666BC9"/>
    <w:rsid w:val="00666D75"/>
    <w:rsid w:val="00666F0F"/>
    <w:rsid w:val="00667B52"/>
    <w:rsid w:val="00670948"/>
    <w:rsid w:val="00670B1C"/>
    <w:rsid w:val="00670FA0"/>
    <w:rsid w:val="00671684"/>
    <w:rsid w:val="006720AE"/>
    <w:rsid w:val="00672D3F"/>
    <w:rsid w:val="00673B49"/>
    <w:rsid w:val="00673F88"/>
    <w:rsid w:val="006740B3"/>
    <w:rsid w:val="00674606"/>
    <w:rsid w:val="00674660"/>
    <w:rsid w:val="00674D06"/>
    <w:rsid w:val="0067508A"/>
    <w:rsid w:val="0067522D"/>
    <w:rsid w:val="00675882"/>
    <w:rsid w:val="00675CB9"/>
    <w:rsid w:val="006766E2"/>
    <w:rsid w:val="00676A27"/>
    <w:rsid w:val="0067743E"/>
    <w:rsid w:val="00677A81"/>
    <w:rsid w:val="0068045F"/>
    <w:rsid w:val="00680A5D"/>
    <w:rsid w:val="0068139A"/>
    <w:rsid w:val="006815ED"/>
    <w:rsid w:val="00681DE2"/>
    <w:rsid w:val="0068209B"/>
    <w:rsid w:val="00682EF4"/>
    <w:rsid w:val="006836CF"/>
    <w:rsid w:val="006838FA"/>
    <w:rsid w:val="00683AA3"/>
    <w:rsid w:val="00683FCE"/>
    <w:rsid w:val="00684867"/>
    <w:rsid w:val="00684C14"/>
    <w:rsid w:val="00684D20"/>
    <w:rsid w:val="006850CE"/>
    <w:rsid w:val="006852CF"/>
    <w:rsid w:val="00685316"/>
    <w:rsid w:val="00685465"/>
    <w:rsid w:val="006859E6"/>
    <w:rsid w:val="00686455"/>
    <w:rsid w:val="00687C21"/>
    <w:rsid w:val="00687CA0"/>
    <w:rsid w:val="006902EE"/>
    <w:rsid w:val="006903EA"/>
    <w:rsid w:val="0069082E"/>
    <w:rsid w:val="00691059"/>
    <w:rsid w:val="006911A8"/>
    <w:rsid w:val="00691CE9"/>
    <w:rsid w:val="00691E03"/>
    <w:rsid w:val="006924A1"/>
    <w:rsid w:val="006924AD"/>
    <w:rsid w:val="00693310"/>
    <w:rsid w:val="00693CA7"/>
    <w:rsid w:val="006943E4"/>
    <w:rsid w:val="006945BD"/>
    <w:rsid w:val="00694723"/>
    <w:rsid w:val="0069492D"/>
    <w:rsid w:val="00694FFD"/>
    <w:rsid w:val="006955E0"/>
    <w:rsid w:val="00695900"/>
    <w:rsid w:val="00695C5D"/>
    <w:rsid w:val="00696469"/>
    <w:rsid w:val="0069657B"/>
    <w:rsid w:val="00696B18"/>
    <w:rsid w:val="00696DB2"/>
    <w:rsid w:val="006979DD"/>
    <w:rsid w:val="006A01AB"/>
    <w:rsid w:val="006A02E2"/>
    <w:rsid w:val="006A0804"/>
    <w:rsid w:val="006A0F68"/>
    <w:rsid w:val="006A1042"/>
    <w:rsid w:val="006A112D"/>
    <w:rsid w:val="006A1738"/>
    <w:rsid w:val="006A1798"/>
    <w:rsid w:val="006A1D8A"/>
    <w:rsid w:val="006A2403"/>
    <w:rsid w:val="006A2E34"/>
    <w:rsid w:val="006A328D"/>
    <w:rsid w:val="006A32CF"/>
    <w:rsid w:val="006A348F"/>
    <w:rsid w:val="006A35FA"/>
    <w:rsid w:val="006A39C8"/>
    <w:rsid w:val="006A5282"/>
    <w:rsid w:val="006A563A"/>
    <w:rsid w:val="006A5D3A"/>
    <w:rsid w:val="006A6A54"/>
    <w:rsid w:val="006A6EA0"/>
    <w:rsid w:val="006A76AD"/>
    <w:rsid w:val="006B0284"/>
    <w:rsid w:val="006B0ECB"/>
    <w:rsid w:val="006B0F33"/>
    <w:rsid w:val="006B1482"/>
    <w:rsid w:val="006B189C"/>
    <w:rsid w:val="006B18BE"/>
    <w:rsid w:val="006B2D1F"/>
    <w:rsid w:val="006B3701"/>
    <w:rsid w:val="006B37AC"/>
    <w:rsid w:val="006B413C"/>
    <w:rsid w:val="006B48D3"/>
    <w:rsid w:val="006B4CB9"/>
    <w:rsid w:val="006B515E"/>
    <w:rsid w:val="006B54D8"/>
    <w:rsid w:val="006B5B2A"/>
    <w:rsid w:val="006B6250"/>
    <w:rsid w:val="006B7074"/>
    <w:rsid w:val="006B74CD"/>
    <w:rsid w:val="006B7CD7"/>
    <w:rsid w:val="006B7D23"/>
    <w:rsid w:val="006B7DB0"/>
    <w:rsid w:val="006B7FD4"/>
    <w:rsid w:val="006C0561"/>
    <w:rsid w:val="006C0587"/>
    <w:rsid w:val="006C0CC4"/>
    <w:rsid w:val="006C0EA1"/>
    <w:rsid w:val="006C0ECA"/>
    <w:rsid w:val="006C2900"/>
    <w:rsid w:val="006C299E"/>
    <w:rsid w:val="006C2CBA"/>
    <w:rsid w:val="006C2F47"/>
    <w:rsid w:val="006C3432"/>
    <w:rsid w:val="006C3540"/>
    <w:rsid w:val="006C3775"/>
    <w:rsid w:val="006C388D"/>
    <w:rsid w:val="006C3BE2"/>
    <w:rsid w:val="006C4091"/>
    <w:rsid w:val="006C424E"/>
    <w:rsid w:val="006C450E"/>
    <w:rsid w:val="006C5606"/>
    <w:rsid w:val="006C589E"/>
    <w:rsid w:val="006C5C60"/>
    <w:rsid w:val="006C646F"/>
    <w:rsid w:val="006C68D2"/>
    <w:rsid w:val="006C6B55"/>
    <w:rsid w:val="006C7414"/>
    <w:rsid w:val="006C7AD3"/>
    <w:rsid w:val="006D02FD"/>
    <w:rsid w:val="006D05E7"/>
    <w:rsid w:val="006D0AF3"/>
    <w:rsid w:val="006D1391"/>
    <w:rsid w:val="006D146C"/>
    <w:rsid w:val="006D1AA8"/>
    <w:rsid w:val="006D1E3B"/>
    <w:rsid w:val="006D20A4"/>
    <w:rsid w:val="006D23AC"/>
    <w:rsid w:val="006D26D6"/>
    <w:rsid w:val="006D2769"/>
    <w:rsid w:val="006D2E77"/>
    <w:rsid w:val="006D4311"/>
    <w:rsid w:val="006D439F"/>
    <w:rsid w:val="006D44EA"/>
    <w:rsid w:val="006D549A"/>
    <w:rsid w:val="006D5555"/>
    <w:rsid w:val="006D5D78"/>
    <w:rsid w:val="006D694A"/>
    <w:rsid w:val="006D6D01"/>
    <w:rsid w:val="006D6F0C"/>
    <w:rsid w:val="006D6F7A"/>
    <w:rsid w:val="006E01D9"/>
    <w:rsid w:val="006E04FC"/>
    <w:rsid w:val="006E05E4"/>
    <w:rsid w:val="006E09C0"/>
    <w:rsid w:val="006E0A03"/>
    <w:rsid w:val="006E10BE"/>
    <w:rsid w:val="006E1211"/>
    <w:rsid w:val="006E18BB"/>
    <w:rsid w:val="006E2B77"/>
    <w:rsid w:val="006E2CA6"/>
    <w:rsid w:val="006E32D6"/>
    <w:rsid w:val="006E362F"/>
    <w:rsid w:val="006E36BE"/>
    <w:rsid w:val="006E3ED7"/>
    <w:rsid w:val="006E3F56"/>
    <w:rsid w:val="006E51EE"/>
    <w:rsid w:val="006E5B63"/>
    <w:rsid w:val="006E5F6D"/>
    <w:rsid w:val="006E5F76"/>
    <w:rsid w:val="006E657B"/>
    <w:rsid w:val="006E68C2"/>
    <w:rsid w:val="006E6BDB"/>
    <w:rsid w:val="006E6F04"/>
    <w:rsid w:val="006E735A"/>
    <w:rsid w:val="006E7489"/>
    <w:rsid w:val="006E796B"/>
    <w:rsid w:val="006F0C2F"/>
    <w:rsid w:val="006F0CB8"/>
    <w:rsid w:val="006F131F"/>
    <w:rsid w:val="006F1920"/>
    <w:rsid w:val="006F1DF3"/>
    <w:rsid w:val="006F2CFC"/>
    <w:rsid w:val="006F2D88"/>
    <w:rsid w:val="006F30CA"/>
    <w:rsid w:val="006F44FF"/>
    <w:rsid w:val="006F459F"/>
    <w:rsid w:val="006F4AC8"/>
    <w:rsid w:val="006F4B1E"/>
    <w:rsid w:val="006F4D83"/>
    <w:rsid w:val="006F5B6D"/>
    <w:rsid w:val="006F5DC8"/>
    <w:rsid w:val="006F6183"/>
    <w:rsid w:val="006F6322"/>
    <w:rsid w:val="006F663B"/>
    <w:rsid w:val="006F7227"/>
    <w:rsid w:val="006F7678"/>
    <w:rsid w:val="00700E65"/>
    <w:rsid w:val="007014F5"/>
    <w:rsid w:val="007014FE"/>
    <w:rsid w:val="007015AA"/>
    <w:rsid w:val="0070162D"/>
    <w:rsid w:val="00702140"/>
    <w:rsid w:val="00702364"/>
    <w:rsid w:val="00702489"/>
    <w:rsid w:val="00702497"/>
    <w:rsid w:val="00702671"/>
    <w:rsid w:val="00703957"/>
    <w:rsid w:val="007045F1"/>
    <w:rsid w:val="00705699"/>
    <w:rsid w:val="00705702"/>
    <w:rsid w:val="0070606F"/>
    <w:rsid w:val="00706494"/>
    <w:rsid w:val="00706A78"/>
    <w:rsid w:val="0070708A"/>
    <w:rsid w:val="00707610"/>
    <w:rsid w:val="00707B5D"/>
    <w:rsid w:val="00707DCB"/>
    <w:rsid w:val="00710604"/>
    <w:rsid w:val="007108BA"/>
    <w:rsid w:val="007117E4"/>
    <w:rsid w:val="00711B33"/>
    <w:rsid w:val="0071201E"/>
    <w:rsid w:val="007126F7"/>
    <w:rsid w:val="0071281D"/>
    <w:rsid w:val="00712AE5"/>
    <w:rsid w:val="00712BA9"/>
    <w:rsid w:val="00712E52"/>
    <w:rsid w:val="007133F1"/>
    <w:rsid w:val="00713F8C"/>
    <w:rsid w:val="007140E4"/>
    <w:rsid w:val="007143F1"/>
    <w:rsid w:val="00714690"/>
    <w:rsid w:val="0071487A"/>
    <w:rsid w:val="007148B2"/>
    <w:rsid w:val="00714DA2"/>
    <w:rsid w:val="007153D0"/>
    <w:rsid w:val="00715863"/>
    <w:rsid w:val="00715C00"/>
    <w:rsid w:val="00715FB3"/>
    <w:rsid w:val="00716898"/>
    <w:rsid w:val="00716C35"/>
    <w:rsid w:val="00716D78"/>
    <w:rsid w:val="007173B7"/>
    <w:rsid w:val="00717554"/>
    <w:rsid w:val="00720521"/>
    <w:rsid w:val="00720546"/>
    <w:rsid w:val="007223A2"/>
    <w:rsid w:val="007228CE"/>
    <w:rsid w:val="00722F09"/>
    <w:rsid w:val="007238A7"/>
    <w:rsid w:val="00723F14"/>
    <w:rsid w:val="00724003"/>
    <w:rsid w:val="007241DD"/>
    <w:rsid w:val="00724373"/>
    <w:rsid w:val="00724864"/>
    <w:rsid w:val="00724BCE"/>
    <w:rsid w:val="00725AEC"/>
    <w:rsid w:val="00725B7C"/>
    <w:rsid w:val="00726159"/>
    <w:rsid w:val="007268E0"/>
    <w:rsid w:val="00726F55"/>
    <w:rsid w:val="007273F7"/>
    <w:rsid w:val="007274DE"/>
    <w:rsid w:val="007275BC"/>
    <w:rsid w:val="0072793E"/>
    <w:rsid w:val="00727B6B"/>
    <w:rsid w:val="00730E40"/>
    <w:rsid w:val="00731218"/>
    <w:rsid w:val="00731BAA"/>
    <w:rsid w:val="00731BCC"/>
    <w:rsid w:val="00732556"/>
    <w:rsid w:val="00732884"/>
    <w:rsid w:val="00732B0A"/>
    <w:rsid w:val="00734A73"/>
    <w:rsid w:val="00734B8C"/>
    <w:rsid w:val="00734E08"/>
    <w:rsid w:val="00735571"/>
    <w:rsid w:val="0073592F"/>
    <w:rsid w:val="00736006"/>
    <w:rsid w:val="007362AA"/>
    <w:rsid w:val="007362DB"/>
    <w:rsid w:val="007363CF"/>
    <w:rsid w:val="00736DAD"/>
    <w:rsid w:val="00737B30"/>
    <w:rsid w:val="00740430"/>
    <w:rsid w:val="007409A2"/>
    <w:rsid w:val="0074111C"/>
    <w:rsid w:val="007416C7"/>
    <w:rsid w:val="0074204E"/>
    <w:rsid w:val="007421D6"/>
    <w:rsid w:val="00742642"/>
    <w:rsid w:val="007429CC"/>
    <w:rsid w:val="00742D1C"/>
    <w:rsid w:val="007437FA"/>
    <w:rsid w:val="00743AA4"/>
    <w:rsid w:val="00743ADB"/>
    <w:rsid w:val="00743FE1"/>
    <w:rsid w:val="00744CA9"/>
    <w:rsid w:val="007453C1"/>
    <w:rsid w:val="007453F5"/>
    <w:rsid w:val="0074578B"/>
    <w:rsid w:val="00746CD1"/>
    <w:rsid w:val="00747441"/>
    <w:rsid w:val="00747D75"/>
    <w:rsid w:val="00747F6D"/>
    <w:rsid w:val="00750F86"/>
    <w:rsid w:val="00751B47"/>
    <w:rsid w:val="00751C57"/>
    <w:rsid w:val="00751D91"/>
    <w:rsid w:val="00751F02"/>
    <w:rsid w:val="007524F5"/>
    <w:rsid w:val="00753048"/>
    <w:rsid w:val="00753E16"/>
    <w:rsid w:val="00753E99"/>
    <w:rsid w:val="00755D54"/>
    <w:rsid w:val="0075669A"/>
    <w:rsid w:val="00756782"/>
    <w:rsid w:val="00757C20"/>
    <w:rsid w:val="00757EB6"/>
    <w:rsid w:val="007600F2"/>
    <w:rsid w:val="00760267"/>
    <w:rsid w:val="007603F5"/>
    <w:rsid w:val="00761AE5"/>
    <w:rsid w:val="007628BF"/>
    <w:rsid w:val="007638AC"/>
    <w:rsid w:val="00763C5D"/>
    <w:rsid w:val="007641C9"/>
    <w:rsid w:val="00764515"/>
    <w:rsid w:val="00764856"/>
    <w:rsid w:val="0076511A"/>
    <w:rsid w:val="0076573C"/>
    <w:rsid w:val="00765DB7"/>
    <w:rsid w:val="00766E5E"/>
    <w:rsid w:val="00767441"/>
    <w:rsid w:val="007674D9"/>
    <w:rsid w:val="007677DF"/>
    <w:rsid w:val="00767D32"/>
    <w:rsid w:val="00767F15"/>
    <w:rsid w:val="00767F8A"/>
    <w:rsid w:val="0077076A"/>
    <w:rsid w:val="00770FAD"/>
    <w:rsid w:val="007717A9"/>
    <w:rsid w:val="007717D5"/>
    <w:rsid w:val="00771B47"/>
    <w:rsid w:val="0077244B"/>
    <w:rsid w:val="0077252D"/>
    <w:rsid w:val="00772CE5"/>
    <w:rsid w:val="0077301F"/>
    <w:rsid w:val="00773135"/>
    <w:rsid w:val="007735A0"/>
    <w:rsid w:val="00774B5A"/>
    <w:rsid w:val="00774F65"/>
    <w:rsid w:val="00775321"/>
    <w:rsid w:val="0077580C"/>
    <w:rsid w:val="00775E58"/>
    <w:rsid w:val="007768C8"/>
    <w:rsid w:val="00776A85"/>
    <w:rsid w:val="00776D34"/>
    <w:rsid w:val="00777CB5"/>
    <w:rsid w:val="007805D9"/>
    <w:rsid w:val="00780F94"/>
    <w:rsid w:val="00781867"/>
    <w:rsid w:val="007818AB"/>
    <w:rsid w:val="00781A18"/>
    <w:rsid w:val="00781FD8"/>
    <w:rsid w:val="007821D0"/>
    <w:rsid w:val="007830B0"/>
    <w:rsid w:val="007830C4"/>
    <w:rsid w:val="00783222"/>
    <w:rsid w:val="00783780"/>
    <w:rsid w:val="00783EAB"/>
    <w:rsid w:val="007842DD"/>
    <w:rsid w:val="0078489A"/>
    <w:rsid w:val="00785205"/>
    <w:rsid w:val="007857AE"/>
    <w:rsid w:val="00786DF7"/>
    <w:rsid w:val="00786FF6"/>
    <w:rsid w:val="00787109"/>
    <w:rsid w:val="0079027B"/>
    <w:rsid w:val="00790869"/>
    <w:rsid w:val="00790C87"/>
    <w:rsid w:val="007919B1"/>
    <w:rsid w:val="00791AB1"/>
    <w:rsid w:val="00792257"/>
    <w:rsid w:val="00792C0B"/>
    <w:rsid w:val="00794005"/>
    <w:rsid w:val="007942A8"/>
    <w:rsid w:val="007945B2"/>
    <w:rsid w:val="00794B02"/>
    <w:rsid w:val="00794F6B"/>
    <w:rsid w:val="00795B19"/>
    <w:rsid w:val="00795BD9"/>
    <w:rsid w:val="00795F4F"/>
    <w:rsid w:val="00796E80"/>
    <w:rsid w:val="007971CD"/>
    <w:rsid w:val="00797FA3"/>
    <w:rsid w:val="007A0760"/>
    <w:rsid w:val="007A09C7"/>
    <w:rsid w:val="007A0D89"/>
    <w:rsid w:val="007A0EA1"/>
    <w:rsid w:val="007A10FF"/>
    <w:rsid w:val="007A1347"/>
    <w:rsid w:val="007A17F6"/>
    <w:rsid w:val="007A1AD9"/>
    <w:rsid w:val="007A233D"/>
    <w:rsid w:val="007A2873"/>
    <w:rsid w:val="007A2992"/>
    <w:rsid w:val="007A2A2A"/>
    <w:rsid w:val="007A2BD9"/>
    <w:rsid w:val="007A2E9E"/>
    <w:rsid w:val="007A2EC4"/>
    <w:rsid w:val="007A324D"/>
    <w:rsid w:val="007A3F63"/>
    <w:rsid w:val="007A4042"/>
    <w:rsid w:val="007A41D0"/>
    <w:rsid w:val="007A41E3"/>
    <w:rsid w:val="007A4B63"/>
    <w:rsid w:val="007A53B7"/>
    <w:rsid w:val="007A53FB"/>
    <w:rsid w:val="007A5942"/>
    <w:rsid w:val="007A7611"/>
    <w:rsid w:val="007A7920"/>
    <w:rsid w:val="007A7AD9"/>
    <w:rsid w:val="007A7DFC"/>
    <w:rsid w:val="007B0A67"/>
    <w:rsid w:val="007B0B95"/>
    <w:rsid w:val="007B0E58"/>
    <w:rsid w:val="007B1532"/>
    <w:rsid w:val="007B1B35"/>
    <w:rsid w:val="007B1ECC"/>
    <w:rsid w:val="007B2374"/>
    <w:rsid w:val="007B2841"/>
    <w:rsid w:val="007B293C"/>
    <w:rsid w:val="007B2C1C"/>
    <w:rsid w:val="007B2E5A"/>
    <w:rsid w:val="007B2FFC"/>
    <w:rsid w:val="007B3201"/>
    <w:rsid w:val="007B33EC"/>
    <w:rsid w:val="007B3AD3"/>
    <w:rsid w:val="007B4753"/>
    <w:rsid w:val="007B47C2"/>
    <w:rsid w:val="007B4AFD"/>
    <w:rsid w:val="007B4CC1"/>
    <w:rsid w:val="007B4F22"/>
    <w:rsid w:val="007B6165"/>
    <w:rsid w:val="007B6778"/>
    <w:rsid w:val="007B683A"/>
    <w:rsid w:val="007B6AE7"/>
    <w:rsid w:val="007B6D00"/>
    <w:rsid w:val="007B71AE"/>
    <w:rsid w:val="007B72FD"/>
    <w:rsid w:val="007B784B"/>
    <w:rsid w:val="007B78AB"/>
    <w:rsid w:val="007B7D54"/>
    <w:rsid w:val="007C032B"/>
    <w:rsid w:val="007C05B5"/>
    <w:rsid w:val="007C0937"/>
    <w:rsid w:val="007C0C6B"/>
    <w:rsid w:val="007C13B4"/>
    <w:rsid w:val="007C151A"/>
    <w:rsid w:val="007C155E"/>
    <w:rsid w:val="007C194F"/>
    <w:rsid w:val="007C2319"/>
    <w:rsid w:val="007C29AD"/>
    <w:rsid w:val="007C2A37"/>
    <w:rsid w:val="007C2AD8"/>
    <w:rsid w:val="007C37E1"/>
    <w:rsid w:val="007C456D"/>
    <w:rsid w:val="007C4DDE"/>
    <w:rsid w:val="007C4E9A"/>
    <w:rsid w:val="007C5106"/>
    <w:rsid w:val="007C5521"/>
    <w:rsid w:val="007C5912"/>
    <w:rsid w:val="007C6739"/>
    <w:rsid w:val="007C6893"/>
    <w:rsid w:val="007C6FDE"/>
    <w:rsid w:val="007C70CA"/>
    <w:rsid w:val="007C723D"/>
    <w:rsid w:val="007C7DAC"/>
    <w:rsid w:val="007D07DA"/>
    <w:rsid w:val="007D093D"/>
    <w:rsid w:val="007D0963"/>
    <w:rsid w:val="007D09D4"/>
    <w:rsid w:val="007D1924"/>
    <w:rsid w:val="007D1BBC"/>
    <w:rsid w:val="007D1E1D"/>
    <w:rsid w:val="007D1FF5"/>
    <w:rsid w:val="007D247E"/>
    <w:rsid w:val="007D315D"/>
    <w:rsid w:val="007D330E"/>
    <w:rsid w:val="007D38F4"/>
    <w:rsid w:val="007D4754"/>
    <w:rsid w:val="007D4A0A"/>
    <w:rsid w:val="007D4C7C"/>
    <w:rsid w:val="007D5B29"/>
    <w:rsid w:val="007D6745"/>
    <w:rsid w:val="007D6A0C"/>
    <w:rsid w:val="007D6B2D"/>
    <w:rsid w:val="007D6E74"/>
    <w:rsid w:val="007D7052"/>
    <w:rsid w:val="007D71B6"/>
    <w:rsid w:val="007E0EB8"/>
    <w:rsid w:val="007E1286"/>
    <w:rsid w:val="007E1DC5"/>
    <w:rsid w:val="007E2272"/>
    <w:rsid w:val="007E2311"/>
    <w:rsid w:val="007E25AD"/>
    <w:rsid w:val="007E2C5D"/>
    <w:rsid w:val="007E350C"/>
    <w:rsid w:val="007E3EF5"/>
    <w:rsid w:val="007E4078"/>
    <w:rsid w:val="007E4C38"/>
    <w:rsid w:val="007E4E0E"/>
    <w:rsid w:val="007E4E30"/>
    <w:rsid w:val="007E4EA1"/>
    <w:rsid w:val="007E53C8"/>
    <w:rsid w:val="007E5647"/>
    <w:rsid w:val="007E5CEA"/>
    <w:rsid w:val="007E5FFA"/>
    <w:rsid w:val="007E631B"/>
    <w:rsid w:val="007E709F"/>
    <w:rsid w:val="007E719A"/>
    <w:rsid w:val="007E71C0"/>
    <w:rsid w:val="007E7ADD"/>
    <w:rsid w:val="007F02EC"/>
    <w:rsid w:val="007F12D3"/>
    <w:rsid w:val="007F1C1B"/>
    <w:rsid w:val="007F2309"/>
    <w:rsid w:val="007F37A5"/>
    <w:rsid w:val="007F37E1"/>
    <w:rsid w:val="007F3BD2"/>
    <w:rsid w:val="007F4024"/>
    <w:rsid w:val="007F440D"/>
    <w:rsid w:val="007F4533"/>
    <w:rsid w:val="007F4BF2"/>
    <w:rsid w:val="007F54BF"/>
    <w:rsid w:val="007F5A64"/>
    <w:rsid w:val="007F6DCB"/>
    <w:rsid w:val="007F72BD"/>
    <w:rsid w:val="007F737E"/>
    <w:rsid w:val="00800E03"/>
    <w:rsid w:val="00800F35"/>
    <w:rsid w:val="008011C1"/>
    <w:rsid w:val="00802C53"/>
    <w:rsid w:val="00802DDE"/>
    <w:rsid w:val="00802F1B"/>
    <w:rsid w:val="008030B0"/>
    <w:rsid w:val="00803278"/>
    <w:rsid w:val="008038D8"/>
    <w:rsid w:val="00803AED"/>
    <w:rsid w:val="00803C8E"/>
    <w:rsid w:val="00803DA2"/>
    <w:rsid w:val="00803FAC"/>
    <w:rsid w:val="008044AD"/>
    <w:rsid w:val="0080498A"/>
    <w:rsid w:val="0080504A"/>
    <w:rsid w:val="008050BC"/>
    <w:rsid w:val="00805CBB"/>
    <w:rsid w:val="0080613B"/>
    <w:rsid w:val="00806542"/>
    <w:rsid w:val="008065BA"/>
    <w:rsid w:val="00806C17"/>
    <w:rsid w:val="008073A5"/>
    <w:rsid w:val="00807A1A"/>
    <w:rsid w:val="00807A6C"/>
    <w:rsid w:val="00810A65"/>
    <w:rsid w:val="008115A3"/>
    <w:rsid w:val="00811A75"/>
    <w:rsid w:val="00812185"/>
    <w:rsid w:val="00812FFE"/>
    <w:rsid w:val="00813254"/>
    <w:rsid w:val="0081351F"/>
    <w:rsid w:val="00813737"/>
    <w:rsid w:val="008142B5"/>
    <w:rsid w:val="008143F6"/>
    <w:rsid w:val="0081467D"/>
    <w:rsid w:val="00814771"/>
    <w:rsid w:val="008150D1"/>
    <w:rsid w:val="008154BC"/>
    <w:rsid w:val="00816747"/>
    <w:rsid w:val="00816834"/>
    <w:rsid w:val="008170CC"/>
    <w:rsid w:val="0081754B"/>
    <w:rsid w:val="00817B86"/>
    <w:rsid w:val="00817BA9"/>
    <w:rsid w:val="00817BC4"/>
    <w:rsid w:val="00817DC3"/>
    <w:rsid w:val="0082155B"/>
    <w:rsid w:val="00821EE9"/>
    <w:rsid w:val="00822667"/>
    <w:rsid w:val="00822C9D"/>
    <w:rsid w:val="0082310B"/>
    <w:rsid w:val="00823C5A"/>
    <w:rsid w:val="008245DF"/>
    <w:rsid w:val="00824D55"/>
    <w:rsid w:val="008251C9"/>
    <w:rsid w:val="008258A9"/>
    <w:rsid w:val="00825EA0"/>
    <w:rsid w:val="008264AB"/>
    <w:rsid w:val="00826E2D"/>
    <w:rsid w:val="00826F70"/>
    <w:rsid w:val="00831182"/>
    <w:rsid w:val="00831946"/>
    <w:rsid w:val="00831BEF"/>
    <w:rsid w:val="00832514"/>
    <w:rsid w:val="00832B30"/>
    <w:rsid w:val="00832F02"/>
    <w:rsid w:val="008345A0"/>
    <w:rsid w:val="00834C4D"/>
    <w:rsid w:val="0083536D"/>
    <w:rsid w:val="008356E7"/>
    <w:rsid w:val="00836C9F"/>
    <w:rsid w:val="008374FA"/>
    <w:rsid w:val="00837628"/>
    <w:rsid w:val="00837DD6"/>
    <w:rsid w:val="00840055"/>
    <w:rsid w:val="00840222"/>
    <w:rsid w:val="00840A2F"/>
    <w:rsid w:val="00840E20"/>
    <w:rsid w:val="008413BF"/>
    <w:rsid w:val="0084164A"/>
    <w:rsid w:val="008416AC"/>
    <w:rsid w:val="00841758"/>
    <w:rsid w:val="00841C2B"/>
    <w:rsid w:val="00842161"/>
    <w:rsid w:val="00842980"/>
    <w:rsid w:val="008429F7"/>
    <w:rsid w:val="00842F50"/>
    <w:rsid w:val="008430C5"/>
    <w:rsid w:val="0084325A"/>
    <w:rsid w:val="00843AD2"/>
    <w:rsid w:val="00843B27"/>
    <w:rsid w:val="00844145"/>
    <w:rsid w:val="00844612"/>
    <w:rsid w:val="00844C9B"/>
    <w:rsid w:val="0084529C"/>
    <w:rsid w:val="00845748"/>
    <w:rsid w:val="0084589E"/>
    <w:rsid w:val="00845C0F"/>
    <w:rsid w:val="00845E13"/>
    <w:rsid w:val="008462D0"/>
    <w:rsid w:val="00846CDF"/>
    <w:rsid w:val="00847016"/>
    <w:rsid w:val="008475C4"/>
    <w:rsid w:val="00847686"/>
    <w:rsid w:val="00850138"/>
    <w:rsid w:val="008507C8"/>
    <w:rsid w:val="008516E2"/>
    <w:rsid w:val="00851AEE"/>
    <w:rsid w:val="00851B0A"/>
    <w:rsid w:val="00852979"/>
    <w:rsid w:val="00852AA9"/>
    <w:rsid w:val="008535CC"/>
    <w:rsid w:val="0085369D"/>
    <w:rsid w:val="00853A12"/>
    <w:rsid w:val="00853A6B"/>
    <w:rsid w:val="00853D13"/>
    <w:rsid w:val="00853EDF"/>
    <w:rsid w:val="00853F14"/>
    <w:rsid w:val="008540AE"/>
    <w:rsid w:val="00854B2B"/>
    <w:rsid w:val="00854EB5"/>
    <w:rsid w:val="0085548A"/>
    <w:rsid w:val="00855A41"/>
    <w:rsid w:val="00857C17"/>
    <w:rsid w:val="0086020F"/>
    <w:rsid w:val="0086021D"/>
    <w:rsid w:val="008603EC"/>
    <w:rsid w:val="00860687"/>
    <w:rsid w:val="00861B63"/>
    <w:rsid w:val="00861C9F"/>
    <w:rsid w:val="00861CED"/>
    <w:rsid w:val="00861E5B"/>
    <w:rsid w:val="008624BB"/>
    <w:rsid w:val="00862F6D"/>
    <w:rsid w:val="008638CA"/>
    <w:rsid w:val="00863CB5"/>
    <w:rsid w:val="0086418F"/>
    <w:rsid w:val="0086443C"/>
    <w:rsid w:val="00864B23"/>
    <w:rsid w:val="00864DD1"/>
    <w:rsid w:val="008651A5"/>
    <w:rsid w:val="008655C7"/>
    <w:rsid w:val="00865DF3"/>
    <w:rsid w:val="0086643A"/>
    <w:rsid w:val="00867528"/>
    <w:rsid w:val="0086780A"/>
    <w:rsid w:val="0086793B"/>
    <w:rsid w:val="00870026"/>
    <w:rsid w:val="008706D4"/>
    <w:rsid w:val="0087072C"/>
    <w:rsid w:val="00870A57"/>
    <w:rsid w:val="00871130"/>
    <w:rsid w:val="008712BA"/>
    <w:rsid w:val="00871800"/>
    <w:rsid w:val="00871B88"/>
    <w:rsid w:val="008727C2"/>
    <w:rsid w:val="00872875"/>
    <w:rsid w:val="00872E76"/>
    <w:rsid w:val="0087320A"/>
    <w:rsid w:val="00873285"/>
    <w:rsid w:val="00873C2A"/>
    <w:rsid w:val="00873CA1"/>
    <w:rsid w:val="00874246"/>
    <w:rsid w:val="008743FF"/>
    <w:rsid w:val="00874C05"/>
    <w:rsid w:val="00874F37"/>
    <w:rsid w:val="00874FD7"/>
    <w:rsid w:val="00874FE0"/>
    <w:rsid w:val="008750E0"/>
    <w:rsid w:val="00875AE7"/>
    <w:rsid w:val="00875BB2"/>
    <w:rsid w:val="008761DE"/>
    <w:rsid w:val="00876546"/>
    <w:rsid w:val="00876B95"/>
    <w:rsid w:val="0087711A"/>
    <w:rsid w:val="0087758B"/>
    <w:rsid w:val="00877775"/>
    <w:rsid w:val="00877C34"/>
    <w:rsid w:val="0088029B"/>
    <w:rsid w:val="008802FB"/>
    <w:rsid w:val="008809AF"/>
    <w:rsid w:val="00880EE1"/>
    <w:rsid w:val="008813FA"/>
    <w:rsid w:val="008820BA"/>
    <w:rsid w:val="0088255D"/>
    <w:rsid w:val="008829D1"/>
    <w:rsid w:val="00882CF4"/>
    <w:rsid w:val="0088397B"/>
    <w:rsid w:val="008841A0"/>
    <w:rsid w:val="008847B5"/>
    <w:rsid w:val="008848D9"/>
    <w:rsid w:val="00884AD0"/>
    <w:rsid w:val="00884D6A"/>
    <w:rsid w:val="00884DEE"/>
    <w:rsid w:val="008850A8"/>
    <w:rsid w:val="00885254"/>
    <w:rsid w:val="00885859"/>
    <w:rsid w:val="00886150"/>
    <w:rsid w:val="00886603"/>
    <w:rsid w:val="008871FE"/>
    <w:rsid w:val="008875EE"/>
    <w:rsid w:val="00887E4B"/>
    <w:rsid w:val="00887F65"/>
    <w:rsid w:val="0089028F"/>
    <w:rsid w:val="0089085B"/>
    <w:rsid w:val="00890944"/>
    <w:rsid w:val="008909A3"/>
    <w:rsid w:val="00890B6C"/>
    <w:rsid w:val="00890E28"/>
    <w:rsid w:val="00891151"/>
    <w:rsid w:val="00891251"/>
    <w:rsid w:val="00891266"/>
    <w:rsid w:val="00893646"/>
    <w:rsid w:val="008936FB"/>
    <w:rsid w:val="00893812"/>
    <w:rsid w:val="0089394E"/>
    <w:rsid w:val="00893B3B"/>
    <w:rsid w:val="00894212"/>
    <w:rsid w:val="0089424B"/>
    <w:rsid w:val="00894E03"/>
    <w:rsid w:val="00895F06"/>
    <w:rsid w:val="0089693A"/>
    <w:rsid w:val="0089747A"/>
    <w:rsid w:val="008974F6"/>
    <w:rsid w:val="008977CC"/>
    <w:rsid w:val="00897C46"/>
    <w:rsid w:val="008A0B8A"/>
    <w:rsid w:val="008A0F14"/>
    <w:rsid w:val="008A14F9"/>
    <w:rsid w:val="008A1645"/>
    <w:rsid w:val="008A1A52"/>
    <w:rsid w:val="008A2670"/>
    <w:rsid w:val="008A2940"/>
    <w:rsid w:val="008A29AB"/>
    <w:rsid w:val="008A399B"/>
    <w:rsid w:val="008A3B4F"/>
    <w:rsid w:val="008A4A4B"/>
    <w:rsid w:val="008A5154"/>
    <w:rsid w:val="008A5528"/>
    <w:rsid w:val="008A5AA0"/>
    <w:rsid w:val="008A5D9E"/>
    <w:rsid w:val="008A60CF"/>
    <w:rsid w:val="008A6CA9"/>
    <w:rsid w:val="008A78EB"/>
    <w:rsid w:val="008A79E9"/>
    <w:rsid w:val="008B0195"/>
    <w:rsid w:val="008B066F"/>
    <w:rsid w:val="008B07C1"/>
    <w:rsid w:val="008B0854"/>
    <w:rsid w:val="008B10DD"/>
    <w:rsid w:val="008B18ED"/>
    <w:rsid w:val="008B1BF7"/>
    <w:rsid w:val="008B243D"/>
    <w:rsid w:val="008B285B"/>
    <w:rsid w:val="008B2B90"/>
    <w:rsid w:val="008B3489"/>
    <w:rsid w:val="008B3D1B"/>
    <w:rsid w:val="008B3F72"/>
    <w:rsid w:val="008B4129"/>
    <w:rsid w:val="008B4202"/>
    <w:rsid w:val="008B45D7"/>
    <w:rsid w:val="008B4899"/>
    <w:rsid w:val="008B4C08"/>
    <w:rsid w:val="008B4EFB"/>
    <w:rsid w:val="008B5292"/>
    <w:rsid w:val="008B56CD"/>
    <w:rsid w:val="008B56F8"/>
    <w:rsid w:val="008B5A21"/>
    <w:rsid w:val="008B6D8D"/>
    <w:rsid w:val="008B73DC"/>
    <w:rsid w:val="008B7E96"/>
    <w:rsid w:val="008C03BB"/>
    <w:rsid w:val="008C0B32"/>
    <w:rsid w:val="008C0E86"/>
    <w:rsid w:val="008C109D"/>
    <w:rsid w:val="008C1115"/>
    <w:rsid w:val="008C13A7"/>
    <w:rsid w:val="008C166F"/>
    <w:rsid w:val="008C167D"/>
    <w:rsid w:val="008C1D04"/>
    <w:rsid w:val="008C212C"/>
    <w:rsid w:val="008C2AFC"/>
    <w:rsid w:val="008C3170"/>
    <w:rsid w:val="008C37B4"/>
    <w:rsid w:val="008C38DC"/>
    <w:rsid w:val="008C3C9D"/>
    <w:rsid w:val="008C3CDA"/>
    <w:rsid w:val="008C3D83"/>
    <w:rsid w:val="008C467B"/>
    <w:rsid w:val="008C47E1"/>
    <w:rsid w:val="008C4C41"/>
    <w:rsid w:val="008C5693"/>
    <w:rsid w:val="008C59B5"/>
    <w:rsid w:val="008C5ACC"/>
    <w:rsid w:val="008C6972"/>
    <w:rsid w:val="008C74AE"/>
    <w:rsid w:val="008D0137"/>
    <w:rsid w:val="008D04D8"/>
    <w:rsid w:val="008D0550"/>
    <w:rsid w:val="008D1954"/>
    <w:rsid w:val="008D2466"/>
    <w:rsid w:val="008D2550"/>
    <w:rsid w:val="008D270C"/>
    <w:rsid w:val="008D29EA"/>
    <w:rsid w:val="008D30ED"/>
    <w:rsid w:val="008D36AC"/>
    <w:rsid w:val="008D3A4D"/>
    <w:rsid w:val="008D45FE"/>
    <w:rsid w:val="008D4EFD"/>
    <w:rsid w:val="008D51AF"/>
    <w:rsid w:val="008D52D1"/>
    <w:rsid w:val="008D54A3"/>
    <w:rsid w:val="008D57AE"/>
    <w:rsid w:val="008D583D"/>
    <w:rsid w:val="008D5FFC"/>
    <w:rsid w:val="008D60C2"/>
    <w:rsid w:val="008D6F16"/>
    <w:rsid w:val="008D75E9"/>
    <w:rsid w:val="008D7970"/>
    <w:rsid w:val="008E01AD"/>
    <w:rsid w:val="008E0458"/>
    <w:rsid w:val="008E06E4"/>
    <w:rsid w:val="008E07BA"/>
    <w:rsid w:val="008E0870"/>
    <w:rsid w:val="008E127E"/>
    <w:rsid w:val="008E139E"/>
    <w:rsid w:val="008E15F9"/>
    <w:rsid w:val="008E1672"/>
    <w:rsid w:val="008E1C7F"/>
    <w:rsid w:val="008E1CB9"/>
    <w:rsid w:val="008E2BD2"/>
    <w:rsid w:val="008E2D70"/>
    <w:rsid w:val="008E33A1"/>
    <w:rsid w:val="008E3713"/>
    <w:rsid w:val="008E3AAA"/>
    <w:rsid w:val="008E3D97"/>
    <w:rsid w:val="008E3E12"/>
    <w:rsid w:val="008E3ED3"/>
    <w:rsid w:val="008E4153"/>
    <w:rsid w:val="008E4397"/>
    <w:rsid w:val="008E44AC"/>
    <w:rsid w:val="008E4828"/>
    <w:rsid w:val="008E4A3A"/>
    <w:rsid w:val="008E5002"/>
    <w:rsid w:val="008E555A"/>
    <w:rsid w:val="008E62A9"/>
    <w:rsid w:val="008E6BDE"/>
    <w:rsid w:val="008E78CF"/>
    <w:rsid w:val="008E7974"/>
    <w:rsid w:val="008E79A2"/>
    <w:rsid w:val="008E7A73"/>
    <w:rsid w:val="008F0078"/>
    <w:rsid w:val="008F01E9"/>
    <w:rsid w:val="008F0482"/>
    <w:rsid w:val="008F04B3"/>
    <w:rsid w:val="008F0C91"/>
    <w:rsid w:val="008F0FE1"/>
    <w:rsid w:val="008F10E7"/>
    <w:rsid w:val="008F1CC3"/>
    <w:rsid w:val="008F1F82"/>
    <w:rsid w:val="008F2040"/>
    <w:rsid w:val="008F263D"/>
    <w:rsid w:val="008F2E1C"/>
    <w:rsid w:val="008F2E1D"/>
    <w:rsid w:val="008F2FBB"/>
    <w:rsid w:val="008F3543"/>
    <w:rsid w:val="008F3927"/>
    <w:rsid w:val="008F3A1C"/>
    <w:rsid w:val="008F3C03"/>
    <w:rsid w:val="008F4173"/>
    <w:rsid w:val="008F4B77"/>
    <w:rsid w:val="008F57A3"/>
    <w:rsid w:val="008F6715"/>
    <w:rsid w:val="008F6C29"/>
    <w:rsid w:val="008F7698"/>
    <w:rsid w:val="0090097D"/>
    <w:rsid w:val="00900B27"/>
    <w:rsid w:val="009017AD"/>
    <w:rsid w:val="00901D76"/>
    <w:rsid w:val="00901FF6"/>
    <w:rsid w:val="0090231B"/>
    <w:rsid w:val="0090287E"/>
    <w:rsid w:val="00902E42"/>
    <w:rsid w:val="00902FA1"/>
    <w:rsid w:val="00903120"/>
    <w:rsid w:val="00903266"/>
    <w:rsid w:val="00903420"/>
    <w:rsid w:val="009035C1"/>
    <w:rsid w:val="00904E3D"/>
    <w:rsid w:val="00904FED"/>
    <w:rsid w:val="00905025"/>
    <w:rsid w:val="00905123"/>
    <w:rsid w:val="009059A5"/>
    <w:rsid w:val="00905A6D"/>
    <w:rsid w:val="009068E0"/>
    <w:rsid w:val="00907B18"/>
    <w:rsid w:val="00907D03"/>
    <w:rsid w:val="00910502"/>
    <w:rsid w:val="00910584"/>
    <w:rsid w:val="009108FC"/>
    <w:rsid w:val="00910924"/>
    <w:rsid w:val="00911387"/>
    <w:rsid w:val="00911955"/>
    <w:rsid w:val="00911A5E"/>
    <w:rsid w:val="00911C3A"/>
    <w:rsid w:val="00912013"/>
    <w:rsid w:val="00912B3D"/>
    <w:rsid w:val="00913498"/>
    <w:rsid w:val="009139B0"/>
    <w:rsid w:val="00913D7D"/>
    <w:rsid w:val="00913FEF"/>
    <w:rsid w:val="0091404D"/>
    <w:rsid w:val="0091472F"/>
    <w:rsid w:val="00915067"/>
    <w:rsid w:val="00915F75"/>
    <w:rsid w:val="00915F85"/>
    <w:rsid w:val="00916CA4"/>
    <w:rsid w:val="0091712C"/>
    <w:rsid w:val="009171D8"/>
    <w:rsid w:val="00920012"/>
    <w:rsid w:val="009216B0"/>
    <w:rsid w:val="00921DF3"/>
    <w:rsid w:val="009221E9"/>
    <w:rsid w:val="009228D4"/>
    <w:rsid w:val="00922A0A"/>
    <w:rsid w:val="00923DAA"/>
    <w:rsid w:val="00924E3A"/>
    <w:rsid w:val="00925BD9"/>
    <w:rsid w:val="009269AF"/>
    <w:rsid w:val="00926D89"/>
    <w:rsid w:val="00927060"/>
    <w:rsid w:val="0092709F"/>
    <w:rsid w:val="00927397"/>
    <w:rsid w:val="009277F1"/>
    <w:rsid w:val="00930024"/>
    <w:rsid w:val="009304F5"/>
    <w:rsid w:val="00930597"/>
    <w:rsid w:val="00930711"/>
    <w:rsid w:val="00930F1E"/>
    <w:rsid w:val="00931786"/>
    <w:rsid w:val="00931D8B"/>
    <w:rsid w:val="00932375"/>
    <w:rsid w:val="0093288A"/>
    <w:rsid w:val="00932DC7"/>
    <w:rsid w:val="0093315B"/>
    <w:rsid w:val="009332AF"/>
    <w:rsid w:val="009332E7"/>
    <w:rsid w:val="00933437"/>
    <w:rsid w:val="009335D1"/>
    <w:rsid w:val="0093385B"/>
    <w:rsid w:val="0093434D"/>
    <w:rsid w:val="00934835"/>
    <w:rsid w:val="00934C38"/>
    <w:rsid w:val="00934F48"/>
    <w:rsid w:val="009356DB"/>
    <w:rsid w:val="00935813"/>
    <w:rsid w:val="00936CF1"/>
    <w:rsid w:val="00937CF7"/>
    <w:rsid w:val="00937D53"/>
    <w:rsid w:val="00937D68"/>
    <w:rsid w:val="00937F4C"/>
    <w:rsid w:val="009407E9"/>
    <w:rsid w:val="009410C3"/>
    <w:rsid w:val="00941EEE"/>
    <w:rsid w:val="0094210D"/>
    <w:rsid w:val="0094219F"/>
    <w:rsid w:val="00942927"/>
    <w:rsid w:val="0094297E"/>
    <w:rsid w:val="0094359B"/>
    <w:rsid w:val="00943D69"/>
    <w:rsid w:val="00943E15"/>
    <w:rsid w:val="00944452"/>
    <w:rsid w:val="00944718"/>
    <w:rsid w:val="00944ABF"/>
    <w:rsid w:val="00944C08"/>
    <w:rsid w:val="00944D53"/>
    <w:rsid w:val="00945EBF"/>
    <w:rsid w:val="009460BB"/>
    <w:rsid w:val="00946689"/>
    <w:rsid w:val="0094671D"/>
    <w:rsid w:val="00946A8F"/>
    <w:rsid w:val="00946ABF"/>
    <w:rsid w:val="00946D11"/>
    <w:rsid w:val="00947DB5"/>
    <w:rsid w:val="009516E8"/>
    <w:rsid w:val="009519BF"/>
    <w:rsid w:val="00953C0B"/>
    <w:rsid w:val="00954DC8"/>
    <w:rsid w:val="0095718F"/>
    <w:rsid w:val="009573E0"/>
    <w:rsid w:val="00957753"/>
    <w:rsid w:val="00960A07"/>
    <w:rsid w:val="00960B0B"/>
    <w:rsid w:val="00960C04"/>
    <w:rsid w:val="00961672"/>
    <w:rsid w:val="009619B5"/>
    <w:rsid w:val="00962238"/>
    <w:rsid w:val="009622EA"/>
    <w:rsid w:val="0096266B"/>
    <w:rsid w:val="0096272D"/>
    <w:rsid w:val="009627A4"/>
    <w:rsid w:val="0096292D"/>
    <w:rsid w:val="009637A7"/>
    <w:rsid w:val="00963AB3"/>
    <w:rsid w:val="00963ACA"/>
    <w:rsid w:val="00963D7F"/>
    <w:rsid w:val="00965B1D"/>
    <w:rsid w:val="00965C55"/>
    <w:rsid w:val="00965DF1"/>
    <w:rsid w:val="009660DB"/>
    <w:rsid w:val="00966DD8"/>
    <w:rsid w:val="00967206"/>
    <w:rsid w:val="0096767D"/>
    <w:rsid w:val="009677FE"/>
    <w:rsid w:val="00967A85"/>
    <w:rsid w:val="00967E45"/>
    <w:rsid w:val="0097044D"/>
    <w:rsid w:val="00970765"/>
    <w:rsid w:val="00970C2C"/>
    <w:rsid w:val="0097141D"/>
    <w:rsid w:val="00972E44"/>
    <w:rsid w:val="00973C85"/>
    <w:rsid w:val="00973E36"/>
    <w:rsid w:val="00973F02"/>
    <w:rsid w:val="009748F6"/>
    <w:rsid w:val="00974A93"/>
    <w:rsid w:val="00974DD0"/>
    <w:rsid w:val="009757FD"/>
    <w:rsid w:val="00975B43"/>
    <w:rsid w:val="00975E70"/>
    <w:rsid w:val="009762B4"/>
    <w:rsid w:val="009769C7"/>
    <w:rsid w:val="00976CBE"/>
    <w:rsid w:val="00977399"/>
    <w:rsid w:val="00980145"/>
    <w:rsid w:val="009804EE"/>
    <w:rsid w:val="00980BBC"/>
    <w:rsid w:val="0098139A"/>
    <w:rsid w:val="009813BA"/>
    <w:rsid w:val="00981416"/>
    <w:rsid w:val="00981664"/>
    <w:rsid w:val="0098290D"/>
    <w:rsid w:val="00982D53"/>
    <w:rsid w:val="00983BF5"/>
    <w:rsid w:val="009840EB"/>
    <w:rsid w:val="009846C1"/>
    <w:rsid w:val="009848F5"/>
    <w:rsid w:val="00984A57"/>
    <w:rsid w:val="0098574B"/>
    <w:rsid w:val="009866F4"/>
    <w:rsid w:val="00986737"/>
    <w:rsid w:val="009867AD"/>
    <w:rsid w:val="00986BF7"/>
    <w:rsid w:val="0098736E"/>
    <w:rsid w:val="00987DDA"/>
    <w:rsid w:val="00990302"/>
    <w:rsid w:val="00990743"/>
    <w:rsid w:val="00991095"/>
    <w:rsid w:val="0099131B"/>
    <w:rsid w:val="00991859"/>
    <w:rsid w:val="00991BB1"/>
    <w:rsid w:val="00991D70"/>
    <w:rsid w:val="0099204D"/>
    <w:rsid w:val="009922EA"/>
    <w:rsid w:val="00992C1E"/>
    <w:rsid w:val="009930B4"/>
    <w:rsid w:val="00993914"/>
    <w:rsid w:val="00994028"/>
    <w:rsid w:val="00994E3F"/>
    <w:rsid w:val="00994FF9"/>
    <w:rsid w:val="00995CEA"/>
    <w:rsid w:val="00995E21"/>
    <w:rsid w:val="00997981"/>
    <w:rsid w:val="00997D59"/>
    <w:rsid w:val="00997D9C"/>
    <w:rsid w:val="009A07E1"/>
    <w:rsid w:val="009A108A"/>
    <w:rsid w:val="009A1A1E"/>
    <w:rsid w:val="009A1C52"/>
    <w:rsid w:val="009A1D75"/>
    <w:rsid w:val="009A1ED9"/>
    <w:rsid w:val="009A2C99"/>
    <w:rsid w:val="009A32BE"/>
    <w:rsid w:val="009A341B"/>
    <w:rsid w:val="009A362D"/>
    <w:rsid w:val="009A3836"/>
    <w:rsid w:val="009A39D1"/>
    <w:rsid w:val="009A3C07"/>
    <w:rsid w:val="009A3D54"/>
    <w:rsid w:val="009A3E80"/>
    <w:rsid w:val="009A3FDD"/>
    <w:rsid w:val="009A4570"/>
    <w:rsid w:val="009A5D5D"/>
    <w:rsid w:val="009A6042"/>
    <w:rsid w:val="009A6962"/>
    <w:rsid w:val="009A7338"/>
    <w:rsid w:val="009A7728"/>
    <w:rsid w:val="009A7794"/>
    <w:rsid w:val="009A7A29"/>
    <w:rsid w:val="009B09DF"/>
    <w:rsid w:val="009B0C14"/>
    <w:rsid w:val="009B1507"/>
    <w:rsid w:val="009B1B78"/>
    <w:rsid w:val="009B26CB"/>
    <w:rsid w:val="009B2994"/>
    <w:rsid w:val="009B3445"/>
    <w:rsid w:val="009B3B31"/>
    <w:rsid w:val="009B3C9C"/>
    <w:rsid w:val="009B3F70"/>
    <w:rsid w:val="009B5910"/>
    <w:rsid w:val="009B5BB3"/>
    <w:rsid w:val="009B6411"/>
    <w:rsid w:val="009B65DD"/>
    <w:rsid w:val="009B6FCE"/>
    <w:rsid w:val="009B71A3"/>
    <w:rsid w:val="009B71FF"/>
    <w:rsid w:val="009B76A1"/>
    <w:rsid w:val="009B7CAA"/>
    <w:rsid w:val="009C00EE"/>
    <w:rsid w:val="009C2746"/>
    <w:rsid w:val="009C2795"/>
    <w:rsid w:val="009C2C59"/>
    <w:rsid w:val="009C31E9"/>
    <w:rsid w:val="009C3918"/>
    <w:rsid w:val="009C3C26"/>
    <w:rsid w:val="009C3EA3"/>
    <w:rsid w:val="009C46EC"/>
    <w:rsid w:val="009C4AD3"/>
    <w:rsid w:val="009C4C8E"/>
    <w:rsid w:val="009C5028"/>
    <w:rsid w:val="009C52A2"/>
    <w:rsid w:val="009C5930"/>
    <w:rsid w:val="009C5EDB"/>
    <w:rsid w:val="009C5EEC"/>
    <w:rsid w:val="009C62D7"/>
    <w:rsid w:val="009C6316"/>
    <w:rsid w:val="009C7618"/>
    <w:rsid w:val="009C7B5D"/>
    <w:rsid w:val="009C7C5C"/>
    <w:rsid w:val="009C7D6A"/>
    <w:rsid w:val="009D0755"/>
    <w:rsid w:val="009D0A97"/>
    <w:rsid w:val="009D138B"/>
    <w:rsid w:val="009D13E9"/>
    <w:rsid w:val="009D2405"/>
    <w:rsid w:val="009D2515"/>
    <w:rsid w:val="009D2629"/>
    <w:rsid w:val="009D2C26"/>
    <w:rsid w:val="009D2D4D"/>
    <w:rsid w:val="009D2E7C"/>
    <w:rsid w:val="009D3784"/>
    <w:rsid w:val="009D3BBA"/>
    <w:rsid w:val="009D46D3"/>
    <w:rsid w:val="009D4925"/>
    <w:rsid w:val="009D6474"/>
    <w:rsid w:val="009D654E"/>
    <w:rsid w:val="009D6EA2"/>
    <w:rsid w:val="009D6F94"/>
    <w:rsid w:val="009D7095"/>
    <w:rsid w:val="009D77B1"/>
    <w:rsid w:val="009D7920"/>
    <w:rsid w:val="009D7DDC"/>
    <w:rsid w:val="009E0917"/>
    <w:rsid w:val="009E0B11"/>
    <w:rsid w:val="009E0F0D"/>
    <w:rsid w:val="009E1319"/>
    <w:rsid w:val="009E1678"/>
    <w:rsid w:val="009E2651"/>
    <w:rsid w:val="009E308D"/>
    <w:rsid w:val="009E3362"/>
    <w:rsid w:val="009E3D55"/>
    <w:rsid w:val="009E441C"/>
    <w:rsid w:val="009E4775"/>
    <w:rsid w:val="009E4B4A"/>
    <w:rsid w:val="009E4F2C"/>
    <w:rsid w:val="009E50C2"/>
    <w:rsid w:val="009E5514"/>
    <w:rsid w:val="009E57E6"/>
    <w:rsid w:val="009E61AF"/>
    <w:rsid w:val="009E670B"/>
    <w:rsid w:val="009E6BCA"/>
    <w:rsid w:val="009E6DA2"/>
    <w:rsid w:val="009E7481"/>
    <w:rsid w:val="009E7B83"/>
    <w:rsid w:val="009E7F73"/>
    <w:rsid w:val="009E7F85"/>
    <w:rsid w:val="009F0483"/>
    <w:rsid w:val="009F1E8E"/>
    <w:rsid w:val="009F2497"/>
    <w:rsid w:val="009F2FC4"/>
    <w:rsid w:val="009F324A"/>
    <w:rsid w:val="009F3755"/>
    <w:rsid w:val="009F4331"/>
    <w:rsid w:val="009F4808"/>
    <w:rsid w:val="009F51B2"/>
    <w:rsid w:val="009F53E9"/>
    <w:rsid w:val="009F5967"/>
    <w:rsid w:val="009F67EA"/>
    <w:rsid w:val="009F765C"/>
    <w:rsid w:val="00A00153"/>
    <w:rsid w:val="00A004F2"/>
    <w:rsid w:val="00A00C16"/>
    <w:rsid w:val="00A01248"/>
    <w:rsid w:val="00A0178A"/>
    <w:rsid w:val="00A01A16"/>
    <w:rsid w:val="00A01D35"/>
    <w:rsid w:val="00A01DF2"/>
    <w:rsid w:val="00A025BF"/>
    <w:rsid w:val="00A025EF"/>
    <w:rsid w:val="00A026C0"/>
    <w:rsid w:val="00A02730"/>
    <w:rsid w:val="00A028A2"/>
    <w:rsid w:val="00A02E1F"/>
    <w:rsid w:val="00A02FA5"/>
    <w:rsid w:val="00A04155"/>
    <w:rsid w:val="00A04C10"/>
    <w:rsid w:val="00A0515D"/>
    <w:rsid w:val="00A0708D"/>
    <w:rsid w:val="00A07D73"/>
    <w:rsid w:val="00A1004C"/>
    <w:rsid w:val="00A109F2"/>
    <w:rsid w:val="00A10EE9"/>
    <w:rsid w:val="00A12D0D"/>
    <w:rsid w:val="00A131B2"/>
    <w:rsid w:val="00A13C19"/>
    <w:rsid w:val="00A13FB3"/>
    <w:rsid w:val="00A14110"/>
    <w:rsid w:val="00A141F2"/>
    <w:rsid w:val="00A143C3"/>
    <w:rsid w:val="00A14439"/>
    <w:rsid w:val="00A1444D"/>
    <w:rsid w:val="00A14DE4"/>
    <w:rsid w:val="00A14E6B"/>
    <w:rsid w:val="00A15217"/>
    <w:rsid w:val="00A15404"/>
    <w:rsid w:val="00A15715"/>
    <w:rsid w:val="00A159BD"/>
    <w:rsid w:val="00A15C22"/>
    <w:rsid w:val="00A164EA"/>
    <w:rsid w:val="00A16678"/>
    <w:rsid w:val="00A17B20"/>
    <w:rsid w:val="00A203D7"/>
    <w:rsid w:val="00A20CFA"/>
    <w:rsid w:val="00A21361"/>
    <w:rsid w:val="00A21A04"/>
    <w:rsid w:val="00A21C9E"/>
    <w:rsid w:val="00A2200C"/>
    <w:rsid w:val="00A22312"/>
    <w:rsid w:val="00A230D8"/>
    <w:rsid w:val="00A2363B"/>
    <w:rsid w:val="00A23AFA"/>
    <w:rsid w:val="00A24434"/>
    <w:rsid w:val="00A24915"/>
    <w:rsid w:val="00A24C6D"/>
    <w:rsid w:val="00A250AD"/>
    <w:rsid w:val="00A2542A"/>
    <w:rsid w:val="00A255C6"/>
    <w:rsid w:val="00A25819"/>
    <w:rsid w:val="00A2675E"/>
    <w:rsid w:val="00A26859"/>
    <w:rsid w:val="00A26B5F"/>
    <w:rsid w:val="00A27906"/>
    <w:rsid w:val="00A27A07"/>
    <w:rsid w:val="00A27CF2"/>
    <w:rsid w:val="00A27D53"/>
    <w:rsid w:val="00A300B7"/>
    <w:rsid w:val="00A3029E"/>
    <w:rsid w:val="00A303D4"/>
    <w:rsid w:val="00A3053E"/>
    <w:rsid w:val="00A30685"/>
    <w:rsid w:val="00A313D5"/>
    <w:rsid w:val="00A319F6"/>
    <w:rsid w:val="00A321F1"/>
    <w:rsid w:val="00A32795"/>
    <w:rsid w:val="00A32AA1"/>
    <w:rsid w:val="00A3340D"/>
    <w:rsid w:val="00A34532"/>
    <w:rsid w:val="00A34EB4"/>
    <w:rsid w:val="00A355C5"/>
    <w:rsid w:val="00A358FF"/>
    <w:rsid w:val="00A35E19"/>
    <w:rsid w:val="00A360CA"/>
    <w:rsid w:val="00A362D9"/>
    <w:rsid w:val="00A364C1"/>
    <w:rsid w:val="00A3665A"/>
    <w:rsid w:val="00A36FA9"/>
    <w:rsid w:val="00A37B1D"/>
    <w:rsid w:val="00A406AA"/>
    <w:rsid w:val="00A4079C"/>
    <w:rsid w:val="00A40823"/>
    <w:rsid w:val="00A4098F"/>
    <w:rsid w:val="00A40F2C"/>
    <w:rsid w:val="00A415DF"/>
    <w:rsid w:val="00A41FA6"/>
    <w:rsid w:val="00A43584"/>
    <w:rsid w:val="00A43860"/>
    <w:rsid w:val="00A43A5B"/>
    <w:rsid w:val="00A43D1E"/>
    <w:rsid w:val="00A43EEB"/>
    <w:rsid w:val="00A442C8"/>
    <w:rsid w:val="00A4458E"/>
    <w:rsid w:val="00A4488A"/>
    <w:rsid w:val="00A44952"/>
    <w:rsid w:val="00A44DEF"/>
    <w:rsid w:val="00A458BB"/>
    <w:rsid w:val="00A45DED"/>
    <w:rsid w:val="00A46010"/>
    <w:rsid w:val="00A461C9"/>
    <w:rsid w:val="00A46C35"/>
    <w:rsid w:val="00A47D86"/>
    <w:rsid w:val="00A47F3C"/>
    <w:rsid w:val="00A500D2"/>
    <w:rsid w:val="00A50482"/>
    <w:rsid w:val="00A506C5"/>
    <w:rsid w:val="00A50A05"/>
    <w:rsid w:val="00A50B5A"/>
    <w:rsid w:val="00A50FCA"/>
    <w:rsid w:val="00A52383"/>
    <w:rsid w:val="00A52416"/>
    <w:rsid w:val="00A529F5"/>
    <w:rsid w:val="00A52B6B"/>
    <w:rsid w:val="00A52D94"/>
    <w:rsid w:val="00A52DD3"/>
    <w:rsid w:val="00A52E57"/>
    <w:rsid w:val="00A532AC"/>
    <w:rsid w:val="00A54451"/>
    <w:rsid w:val="00A545AB"/>
    <w:rsid w:val="00A546A4"/>
    <w:rsid w:val="00A54A3C"/>
    <w:rsid w:val="00A54D6F"/>
    <w:rsid w:val="00A54EA2"/>
    <w:rsid w:val="00A55E46"/>
    <w:rsid w:val="00A55E76"/>
    <w:rsid w:val="00A55ECE"/>
    <w:rsid w:val="00A560E7"/>
    <w:rsid w:val="00A56D23"/>
    <w:rsid w:val="00A57425"/>
    <w:rsid w:val="00A57488"/>
    <w:rsid w:val="00A5750E"/>
    <w:rsid w:val="00A57C6B"/>
    <w:rsid w:val="00A60221"/>
    <w:rsid w:val="00A602E8"/>
    <w:rsid w:val="00A606AD"/>
    <w:rsid w:val="00A60C3A"/>
    <w:rsid w:val="00A615FD"/>
    <w:rsid w:val="00A61DAD"/>
    <w:rsid w:val="00A6213F"/>
    <w:rsid w:val="00A6289E"/>
    <w:rsid w:val="00A62D0D"/>
    <w:rsid w:val="00A62DE8"/>
    <w:rsid w:val="00A6357A"/>
    <w:rsid w:val="00A63C2A"/>
    <w:rsid w:val="00A64120"/>
    <w:rsid w:val="00A64C7B"/>
    <w:rsid w:val="00A650B5"/>
    <w:rsid w:val="00A654BE"/>
    <w:rsid w:val="00A65FEA"/>
    <w:rsid w:val="00A660DA"/>
    <w:rsid w:val="00A664DE"/>
    <w:rsid w:val="00A67129"/>
    <w:rsid w:val="00A6726E"/>
    <w:rsid w:val="00A67B0D"/>
    <w:rsid w:val="00A67D87"/>
    <w:rsid w:val="00A70267"/>
    <w:rsid w:val="00A709A5"/>
    <w:rsid w:val="00A70AD6"/>
    <w:rsid w:val="00A70BA0"/>
    <w:rsid w:val="00A71260"/>
    <w:rsid w:val="00A71D6B"/>
    <w:rsid w:val="00A72A73"/>
    <w:rsid w:val="00A72ECE"/>
    <w:rsid w:val="00A7380E"/>
    <w:rsid w:val="00A744FF"/>
    <w:rsid w:val="00A748FF"/>
    <w:rsid w:val="00A74B86"/>
    <w:rsid w:val="00A757A1"/>
    <w:rsid w:val="00A75838"/>
    <w:rsid w:val="00A75E31"/>
    <w:rsid w:val="00A774F4"/>
    <w:rsid w:val="00A801A4"/>
    <w:rsid w:val="00A801F8"/>
    <w:rsid w:val="00A8032B"/>
    <w:rsid w:val="00A80B56"/>
    <w:rsid w:val="00A81363"/>
    <w:rsid w:val="00A816D5"/>
    <w:rsid w:val="00A819FC"/>
    <w:rsid w:val="00A81AF7"/>
    <w:rsid w:val="00A81BA4"/>
    <w:rsid w:val="00A822E6"/>
    <w:rsid w:val="00A82E9D"/>
    <w:rsid w:val="00A83254"/>
    <w:rsid w:val="00A83628"/>
    <w:rsid w:val="00A836F7"/>
    <w:rsid w:val="00A83A19"/>
    <w:rsid w:val="00A83B05"/>
    <w:rsid w:val="00A83C14"/>
    <w:rsid w:val="00A84991"/>
    <w:rsid w:val="00A87A1E"/>
    <w:rsid w:val="00A87F7E"/>
    <w:rsid w:val="00A901FC"/>
    <w:rsid w:val="00A90A19"/>
    <w:rsid w:val="00A91177"/>
    <w:rsid w:val="00A913CF"/>
    <w:rsid w:val="00A919DE"/>
    <w:rsid w:val="00A91C79"/>
    <w:rsid w:val="00A92153"/>
    <w:rsid w:val="00A9252A"/>
    <w:rsid w:val="00A93EC3"/>
    <w:rsid w:val="00A94A6C"/>
    <w:rsid w:val="00A94B72"/>
    <w:rsid w:val="00A95130"/>
    <w:rsid w:val="00A95491"/>
    <w:rsid w:val="00A95498"/>
    <w:rsid w:val="00A9560D"/>
    <w:rsid w:val="00A9574B"/>
    <w:rsid w:val="00A95EDA"/>
    <w:rsid w:val="00A967D6"/>
    <w:rsid w:val="00A96CDC"/>
    <w:rsid w:val="00A971DC"/>
    <w:rsid w:val="00A9795C"/>
    <w:rsid w:val="00AA0178"/>
    <w:rsid w:val="00AA0C01"/>
    <w:rsid w:val="00AA10CF"/>
    <w:rsid w:val="00AA1121"/>
    <w:rsid w:val="00AA11DB"/>
    <w:rsid w:val="00AA1945"/>
    <w:rsid w:val="00AA211A"/>
    <w:rsid w:val="00AA2573"/>
    <w:rsid w:val="00AA2589"/>
    <w:rsid w:val="00AA2C58"/>
    <w:rsid w:val="00AA2F8F"/>
    <w:rsid w:val="00AA2FA1"/>
    <w:rsid w:val="00AA32B6"/>
    <w:rsid w:val="00AA4ACA"/>
    <w:rsid w:val="00AA4B58"/>
    <w:rsid w:val="00AA4C00"/>
    <w:rsid w:val="00AA4C0B"/>
    <w:rsid w:val="00AA5805"/>
    <w:rsid w:val="00AA6227"/>
    <w:rsid w:val="00AA6359"/>
    <w:rsid w:val="00AA63F6"/>
    <w:rsid w:val="00AA6559"/>
    <w:rsid w:val="00AA67B6"/>
    <w:rsid w:val="00AA6991"/>
    <w:rsid w:val="00AA6D25"/>
    <w:rsid w:val="00AA6F44"/>
    <w:rsid w:val="00AA709B"/>
    <w:rsid w:val="00AA76AD"/>
    <w:rsid w:val="00AA7995"/>
    <w:rsid w:val="00AB0183"/>
    <w:rsid w:val="00AB025A"/>
    <w:rsid w:val="00AB029B"/>
    <w:rsid w:val="00AB04B3"/>
    <w:rsid w:val="00AB1541"/>
    <w:rsid w:val="00AB1FA1"/>
    <w:rsid w:val="00AB203D"/>
    <w:rsid w:val="00AB20F5"/>
    <w:rsid w:val="00AB2468"/>
    <w:rsid w:val="00AB2A9A"/>
    <w:rsid w:val="00AB2B32"/>
    <w:rsid w:val="00AB3591"/>
    <w:rsid w:val="00AB3669"/>
    <w:rsid w:val="00AB36A8"/>
    <w:rsid w:val="00AB39E8"/>
    <w:rsid w:val="00AB3FB8"/>
    <w:rsid w:val="00AB4374"/>
    <w:rsid w:val="00AB4988"/>
    <w:rsid w:val="00AB4B68"/>
    <w:rsid w:val="00AB4FED"/>
    <w:rsid w:val="00AB52C0"/>
    <w:rsid w:val="00AB546F"/>
    <w:rsid w:val="00AB5F3A"/>
    <w:rsid w:val="00AB60C4"/>
    <w:rsid w:val="00AB6AEE"/>
    <w:rsid w:val="00AB6AFD"/>
    <w:rsid w:val="00AB6B00"/>
    <w:rsid w:val="00AB72E6"/>
    <w:rsid w:val="00AB75F4"/>
    <w:rsid w:val="00AB7645"/>
    <w:rsid w:val="00AB77B5"/>
    <w:rsid w:val="00AB7AB1"/>
    <w:rsid w:val="00AB7CDB"/>
    <w:rsid w:val="00AB7D8D"/>
    <w:rsid w:val="00AC0516"/>
    <w:rsid w:val="00AC055A"/>
    <w:rsid w:val="00AC0738"/>
    <w:rsid w:val="00AC07AF"/>
    <w:rsid w:val="00AC0D00"/>
    <w:rsid w:val="00AC0FAC"/>
    <w:rsid w:val="00AC1013"/>
    <w:rsid w:val="00AC17F9"/>
    <w:rsid w:val="00AC244B"/>
    <w:rsid w:val="00AC25E2"/>
    <w:rsid w:val="00AC401A"/>
    <w:rsid w:val="00AC44D3"/>
    <w:rsid w:val="00AC4C62"/>
    <w:rsid w:val="00AC4D88"/>
    <w:rsid w:val="00AC5AAF"/>
    <w:rsid w:val="00AC5F8B"/>
    <w:rsid w:val="00AC6BBE"/>
    <w:rsid w:val="00AC70AF"/>
    <w:rsid w:val="00AC7642"/>
    <w:rsid w:val="00AD09D0"/>
    <w:rsid w:val="00AD157C"/>
    <w:rsid w:val="00AD1924"/>
    <w:rsid w:val="00AD2500"/>
    <w:rsid w:val="00AD28D6"/>
    <w:rsid w:val="00AD2D24"/>
    <w:rsid w:val="00AD341D"/>
    <w:rsid w:val="00AD34BF"/>
    <w:rsid w:val="00AD3C33"/>
    <w:rsid w:val="00AD410F"/>
    <w:rsid w:val="00AD4130"/>
    <w:rsid w:val="00AD4193"/>
    <w:rsid w:val="00AD43BF"/>
    <w:rsid w:val="00AD4BD1"/>
    <w:rsid w:val="00AD4F74"/>
    <w:rsid w:val="00AD5639"/>
    <w:rsid w:val="00AD5CE3"/>
    <w:rsid w:val="00AD6786"/>
    <w:rsid w:val="00AD717E"/>
    <w:rsid w:val="00AD7448"/>
    <w:rsid w:val="00AD744C"/>
    <w:rsid w:val="00AD75B4"/>
    <w:rsid w:val="00AD7CB4"/>
    <w:rsid w:val="00AD7FF2"/>
    <w:rsid w:val="00AE0076"/>
    <w:rsid w:val="00AE026B"/>
    <w:rsid w:val="00AE04FF"/>
    <w:rsid w:val="00AE05B5"/>
    <w:rsid w:val="00AE05F1"/>
    <w:rsid w:val="00AE089D"/>
    <w:rsid w:val="00AE1678"/>
    <w:rsid w:val="00AE1954"/>
    <w:rsid w:val="00AE1B82"/>
    <w:rsid w:val="00AE1BD2"/>
    <w:rsid w:val="00AE1F08"/>
    <w:rsid w:val="00AE247C"/>
    <w:rsid w:val="00AE276A"/>
    <w:rsid w:val="00AE2C08"/>
    <w:rsid w:val="00AE2F92"/>
    <w:rsid w:val="00AE4754"/>
    <w:rsid w:val="00AE4CAD"/>
    <w:rsid w:val="00AE50DA"/>
    <w:rsid w:val="00AE53A6"/>
    <w:rsid w:val="00AE5560"/>
    <w:rsid w:val="00AE6734"/>
    <w:rsid w:val="00AE68A3"/>
    <w:rsid w:val="00AE6DF6"/>
    <w:rsid w:val="00AE7256"/>
    <w:rsid w:val="00AF039C"/>
    <w:rsid w:val="00AF04D3"/>
    <w:rsid w:val="00AF0F68"/>
    <w:rsid w:val="00AF1615"/>
    <w:rsid w:val="00AF1D86"/>
    <w:rsid w:val="00AF1F00"/>
    <w:rsid w:val="00AF39D8"/>
    <w:rsid w:val="00AF41D6"/>
    <w:rsid w:val="00AF469A"/>
    <w:rsid w:val="00AF48C4"/>
    <w:rsid w:val="00AF4A35"/>
    <w:rsid w:val="00AF4CF4"/>
    <w:rsid w:val="00AF4F88"/>
    <w:rsid w:val="00AF5073"/>
    <w:rsid w:val="00AF5C92"/>
    <w:rsid w:val="00AF5ECC"/>
    <w:rsid w:val="00AF65AA"/>
    <w:rsid w:val="00AF678E"/>
    <w:rsid w:val="00AF6A0C"/>
    <w:rsid w:val="00AF6D4D"/>
    <w:rsid w:val="00AF6F3E"/>
    <w:rsid w:val="00AF700F"/>
    <w:rsid w:val="00AF7053"/>
    <w:rsid w:val="00AF76A4"/>
    <w:rsid w:val="00AF7724"/>
    <w:rsid w:val="00AF7ED1"/>
    <w:rsid w:val="00B00055"/>
    <w:rsid w:val="00B008CF"/>
    <w:rsid w:val="00B01272"/>
    <w:rsid w:val="00B018B2"/>
    <w:rsid w:val="00B020B0"/>
    <w:rsid w:val="00B02594"/>
    <w:rsid w:val="00B026EB"/>
    <w:rsid w:val="00B02877"/>
    <w:rsid w:val="00B02969"/>
    <w:rsid w:val="00B02F36"/>
    <w:rsid w:val="00B03FCB"/>
    <w:rsid w:val="00B0488A"/>
    <w:rsid w:val="00B04A06"/>
    <w:rsid w:val="00B04CFC"/>
    <w:rsid w:val="00B050BF"/>
    <w:rsid w:val="00B05147"/>
    <w:rsid w:val="00B05E4F"/>
    <w:rsid w:val="00B0604C"/>
    <w:rsid w:val="00B0621F"/>
    <w:rsid w:val="00B06222"/>
    <w:rsid w:val="00B063C1"/>
    <w:rsid w:val="00B064A7"/>
    <w:rsid w:val="00B064C2"/>
    <w:rsid w:val="00B06D74"/>
    <w:rsid w:val="00B06EA6"/>
    <w:rsid w:val="00B06F0A"/>
    <w:rsid w:val="00B07A1A"/>
    <w:rsid w:val="00B10BE9"/>
    <w:rsid w:val="00B10DA1"/>
    <w:rsid w:val="00B11613"/>
    <w:rsid w:val="00B11F6B"/>
    <w:rsid w:val="00B1223D"/>
    <w:rsid w:val="00B12625"/>
    <w:rsid w:val="00B126A6"/>
    <w:rsid w:val="00B12EE7"/>
    <w:rsid w:val="00B130B1"/>
    <w:rsid w:val="00B13294"/>
    <w:rsid w:val="00B13695"/>
    <w:rsid w:val="00B1392F"/>
    <w:rsid w:val="00B13A6F"/>
    <w:rsid w:val="00B1413B"/>
    <w:rsid w:val="00B14661"/>
    <w:rsid w:val="00B150A7"/>
    <w:rsid w:val="00B15654"/>
    <w:rsid w:val="00B1643A"/>
    <w:rsid w:val="00B164EE"/>
    <w:rsid w:val="00B16857"/>
    <w:rsid w:val="00B16C8F"/>
    <w:rsid w:val="00B1716A"/>
    <w:rsid w:val="00B20297"/>
    <w:rsid w:val="00B2087C"/>
    <w:rsid w:val="00B20886"/>
    <w:rsid w:val="00B211B0"/>
    <w:rsid w:val="00B215EB"/>
    <w:rsid w:val="00B21F04"/>
    <w:rsid w:val="00B2223F"/>
    <w:rsid w:val="00B23045"/>
    <w:rsid w:val="00B2349D"/>
    <w:rsid w:val="00B23523"/>
    <w:rsid w:val="00B236D7"/>
    <w:rsid w:val="00B23FC8"/>
    <w:rsid w:val="00B24AC8"/>
    <w:rsid w:val="00B24C35"/>
    <w:rsid w:val="00B25012"/>
    <w:rsid w:val="00B253EA"/>
    <w:rsid w:val="00B25F16"/>
    <w:rsid w:val="00B260DD"/>
    <w:rsid w:val="00B2613A"/>
    <w:rsid w:val="00B26264"/>
    <w:rsid w:val="00B26B60"/>
    <w:rsid w:val="00B26C58"/>
    <w:rsid w:val="00B2710B"/>
    <w:rsid w:val="00B271BC"/>
    <w:rsid w:val="00B276BF"/>
    <w:rsid w:val="00B30A12"/>
    <w:rsid w:val="00B30DF7"/>
    <w:rsid w:val="00B3184C"/>
    <w:rsid w:val="00B31BE7"/>
    <w:rsid w:val="00B32DD2"/>
    <w:rsid w:val="00B32E4C"/>
    <w:rsid w:val="00B33BE6"/>
    <w:rsid w:val="00B3448A"/>
    <w:rsid w:val="00B351D9"/>
    <w:rsid w:val="00B352A9"/>
    <w:rsid w:val="00B35452"/>
    <w:rsid w:val="00B35CC1"/>
    <w:rsid w:val="00B35F34"/>
    <w:rsid w:val="00B36016"/>
    <w:rsid w:val="00B36315"/>
    <w:rsid w:val="00B3664C"/>
    <w:rsid w:val="00B37780"/>
    <w:rsid w:val="00B378D2"/>
    <w:rsid w:val="00B37A1F"/>
    <w:rsid w:val="00B37C33"/>
    <w:rsid w:val="00B37EFA"/>
    <w:rsid w:val="00B402DC"/>
    <w:rsid w:val="00B40BEE"/>
    <w:rsid w:val="00B41113"/>
    <w:rsid w:val="00B41364"/>
    <w:rsid w:val="00B4150A"/>
    <w:rsid w:val="00B4153A"/>
    <w:rsid w:val="00B42312"/>
    <w:rsid w:val="00B43098"/>
    <w:rsid w:val="00B431A9"/>
    <w:rsid w:val="00B43C2A"/>
    <w:rsid w:val="00B447AE"/>
    <w:rsid w:val="00B44DDE"/>
    <w:rsid w:val="00B45438"/>
    <w:rsid w:val="00B46406"/>
    <w:rsid w:val="00B46418"/>
    <w:rsid w:val="00B468BE"/>
    <w:rsid w:val="00B46FCA"/>
    <w:rsid w:val="00B47498"/>
    <w:rsid w:val="00B476B7"/>
    <w:rsid w:val="00B47C97"/>
    <w:rsid w:val="00B506CB"/>
    <w:rsid w:val="00B507D2"/>
    <w:rsid w:val="00B50C01"/>
    <w:rsid w:val="00B50E01"/>
    <w:rsid w:val="00B51A88"/>
    <w:rsid w:val="00B52377"/>
    <w:rsid w:val="00B52572"/>
    <w:rsid w:val="00B525B2"/>
    <w:rsid w:val="00B5293E"/>
    <w:rsid w:val="00B52D23"/>
    <w:rsid w:val="00B52D3B"/>
    <w:rsid w:val="00B53E1B"/>
    <w:rsid w:val="00B542C1"/>
    <w:rsid w:val="00B54536"/>
    <w:rsid w:val="00B54542"/>
    <w:rsid w:val="00B545E7"/>
    <w:rsid w:val="00B54873"/>
    <w:rsid w:val="00B54A92"/>
    <w:rsid w:val="00B55193"/>
    <w:rsid w:val="00B56430"/>
    <w:rsid w:val="00B5667D"/>
    <w:rsid w:val="00B567EC"/>
    <w:rsid w:val="00B56A63"/>
    <w:rsid w:val="00B607A0"/>
    <w:rsid w:val="00B60A6B"/>
    <w:rsid w:val="00B60F41"/>
    <w:rsid w:val="00B618B5"/>
    <w:rsid w:val="00B61D3A"/>
    <w:rsid w:val="00B626BD"/>
    <w:rsid w:val="00B62D62"/>
    <w:rsid w:val="00B6380B"/>
    <w:rsid w:val="00B63DE2"/>
    <w:rsid w:val="00B6448C"/>
    <w:rsid w:val="00B64A1F"/>
    <w:rsid w:val="00B6505D"/>
    <w:rsid w:val="00B65524"/>
    <w:rsid w:val="00B65C80"/>
    <w:rsid w:val="00B65E37"/>
    <w:rsid w:val="00B66603"/>
    <w:rsid w:val="00B66619"/>
    <w:rsid w:val="00B666E7"/>
    <w:rsid w:val="00B66922"/>
    <w:rsid w:val="00B67290"/>
    <w:rsid w:val="00B67C1C"/>
    <w:rsid w:val="00B67E35"/>
    <w:rsid w:val="00B67EF3"/>
    <w:rsid w:val="00B70252"/>
    <w:rsid w:val="00B70361"/>
    <w:rsid w:val="00B70634"/>
    <w:rsid w:val="00B70A5C"/>
    <w:rsid w:val="00B71440"/>
    <w:rsid w:val="00B71459"/>
    <w:rsid w:val="00B71920"/>
    <w:rsid w:val="00B71BD1"/>
    <w:rsid w:val="00B71D6F"/>
    <w:rsid w:val="00B72D8E"/>
    <w:rsid w:val="00B74555"/>
    <w:rsid w:val="00B74726"/>
    <w:rsid w:val="00B74AA8"/>
    <w:rsid w:val="00B75016"/>
    <w:rsid w:val="00B75B51"/>
    <w:rsid w:val="00B76CA9"/>
    <w:rsid w:val="00B77CF5"/>
    <w:rsid w:val="00B77D21"/>
    <w:rsid w:val="00B77FF6"/>
    <w:rsid w:val="00B801BF"/>
    <w:rsid w:val="00B801C1"/>
    <w:rsid w:val="00B80441"/>
    <w:rsid w:val="00B805FB"/>
    <w:rsid w:val="00B8092D"/>
    <w:rsid w:val="00B80A67"/>
    <w:rsid w:val="00B80D43"/>
    <w:rsid w:val="00B82C72"/>
    <w:rsid w:val="00B82E27"/>
    <w:rsid w:val="00B82FD5"/>
    <w:rsid w:val="00B83815"/>
    <w:rsid w:val="00B839F0"/>
    <w:rsid w:val="00B847E8"/>
    <w:rsid w:val="00B8496F"/>
    <w:rsid w:val="00B852EB"/>
    <w:rsid w:val="00B8537A"/>
    <w:rsid w:val="00B85569"/>
    <w:rsid w:val="00B873F3"/>
    <w:rsid w:val="00B875B7"/>
    <w:rsid w:val="00B87F8D"/>
    <w:rsid w:val="00B9017C"/>
    <w:rsid w:val="00B903A3"/>
    <w:rsid w:val="00B90966"/>
    <w:rsid w:val="00B90A85"/>
    <w:rsid w:val="00B90D68"/>
    <w:rsid w:val="00B91DB9"/>
    <w:rsid w:val="00B921FA"/>
    <w:rsid w:val="00B92A21"/>
    <w:rsid w:val="00B93562"/>
    <w:rsid w:val="00B937D2"/>
    <w:rsid w:val="00B93A07"/>
    <w:rsid w:val="00B93A68"/>
    <w:rsid w:val="00B93DEF"/>
    <w:rsid w:val="00B94248"/>
    <w:rsid w:val="00B945E3"/>
    <w:rsid w:val="00B94FF4"/>
    <w:rsid w:val="00B9520D"/>
    <w:rsid w:val="00B95AAC"/>
    <w:rsid w:val="00B95CDC"/>
    <w:rsid w:val="00B9622E"/>
    <w:rsid w:val="00B96767"/>
    <w:rsid w:val="00B96A8F"/>
    <w:rsid w:val="00B96E95"/>
    <w:rsid w:val="00B97280"/>
    <w:rsid w:val="00B9730C"/>
    <w:rsid w:val="00B97583"/>
    <w:rsid w:val="00B97602"/>
    <w:rsid w:val="00B97D54"/>
    <w:rsid w:val="00B97DA5"/>
    <w:rsid w:val="00BA0430"/>
    <w:rsid w:val="00BA0C13"/>
    <w:rsid w:val="00BA0C26"/>
    <w:rsid w:val="00BA0D90"/>
    <w:rsid w:val="00BA16A4"/>
    <w:rsid w:val="00BA1AE0"/>
    <w:rsid w:val="00BA1D0B"/>
    <w:rsid w:val="00BA1F1F"/>
    <w:rsid w:val="00BA1F71"/>
    <w:rsid w:val="00BA26FE"/>
    <w:rsid w:val="00BA2902"/>
    <w:rsid w:val="00BA3551"/>
    <w:rsid w:val="00BA35C6"/>
    <w:rsid w:val="00BA3829"/>
    <w:rsid w:val="00BA4FFA"/>
    <w:rsid w:val="00BA52C0"/>
    <w:rsid w:val="00BA5ACF"/>
    <w:rsid w:val="00BA613D"/>
    <w:rsid w:val="00BA685D"/>
    <w:rsid w:val="00BA7209"/>
    <w:rsid w:val="00BB007D"/>
    <w:rsid w:val="00BB04FF"/>
    <w:rsid w:val="00BB190C"/>
    <w:rsid w:val="00BB1C70"/>
    <w:rsid w:val="00BB301B"/>
    <w:rsid w:val="00BB353B"/>
    <w:rsid w:val="00BB35FE"/>
    <w:rsid w:val="00BB3937"/>
    <w:rsid w:val="00BB48CC"/>
    <w:rsid w:val="00BB4E32"/>
    <w:rsid w:val="00BB52A2"/>
    <w:rsid w:val="00BB573E"/>
    <w:rsid w:val="00BB5793"/>
    <w:rsid w:val="00BB5F46"/>
    <w:rsid w:val="00BB6C83"/>
    <w:rsid w:val="00BB6E33"/>
    <w:rsid w:val="00BB7A3D"/>
    <w:rsid w:val="00BB7FEA"/>
    <w:rsid w:val="00BC06CD"/>
    <w:rsid w:val="00BC0924"/>
    <w:rsid w:val="00BC11F6"/>
    <w:rsid w:val="00BC25A0"/>
    <w:rsid w:val="00BC2D59"/>
    <w:rsid w:val="00BC327F"/>
    <w:rsid w:val="00BC4000"/>
    <w:rsid w:val="00BC4121"/>
    <w:rsid w:val="00BC5912"/>
    <w:rsid w:val="00BC5DCD"/>
    <w:rsid w:val="00BC73FA"/>
    <w:rsid w:val="00BC7DFA"/>
    <w:rsid w:val="00BD0405"/>
    <w:rsid w:val="00BD06C2"/>
    <w:rsid w:val="00BD0833"/>
    <w:rsid w:val="00BD0B95"/>
    <w:rsid w:val="00BD0D0F"/>
    <w:rsid w:val="00BD1FC8"/>
    <w:rsid w:val="00BD2396"/>
    <w:rsid w:val="00BD2473"/>
    <w:rsid w:val="00BD2C1E"/>
    <w:rsid w:val="00BD3227"/>
    <w:rsid w:val="00BD37AF"/>
    <w:rsid w:val="00BD4425"/>
    <w:rsid w:val="00BD4A08"/>
    <w:rsid w:val="00BD4ABE"/>
    <w:rsid w:val="00BD4B33"/>
    <w:rsid w:val="00BD4D26"/>
    <w:rsid w:val="00BD6361"/>
    <w:rsid w:val="00BD6480"/>
    <w:rsid w:val="00BD6BE5"/>
    <w:rsid w:val="00BD6D92"/>
    <w:rsid w:val="00BD6E04"/>
    <w:rsid w:val="00BD7188"/>
    <w:rsid w:val="00BD78F5"/>
    <w:rsid w:val="00BD7ABC"/>
    <w:rsid w:val="00BD7CD8"/>
    <w:rsid w:val="00BE0317"/>
    <w:rsid w:val="00BE0718"/>
    <w:rsid w:val="00BE07B0"/>
    <w:rsid w:val="00BE089A"/>
    <w:rsid w:val="00BE0D2B"/>
    <w:rsid w:val="00BE0D9C"/>
    <w:rsid w:val="00BE0E97"/>
    <w:rsid w:val="00BE0FC1"/>
    <w:rsid w:val="00BE11A7"/>
    <w:rsid w:val="00BE1235"/>
    <w:rsid w:val="00BE1E0E"/>
    <w:rsid w:val="00BE28AF"/>
    <w:rsid w:val="00BE3246"/>
    <w:rsid w:val="00BE33C3"/>
    <w:rsid w:val="00BE3962"/>
    <w:rsid w:val="00BE3B2F"/>
    <w:rsid w:val="00BE40C6"/>
    <w:rsid w:val="00BE43B0"/>
    <w:rsid w:val="00BE453C"/>
    <w:rsid w:val="00BE4823"/>
    <w:rsid w:val="00BE4EBE"/>
    <w:rsid w:val="00BE5736"/>
    <w:rsid w:val="00BE5F1B"/>
    <w:rsid w:val="00BE6503"/>
    <w:rsid w:val="00BE7520"/>
    <w:rsid w:val="00BE7850"/>
    <w:rsid w:val="00BE7B08"/>
    <w:rsid w:val="00BE7C09"/>
    <w:rsid w:val="00BE7DDC"/>
    <w:rsid w:val="00BF010D"/>
    <w:rsid w:val="00BF0185"/>
    <w:rsid w:val="00BF0472"/>
    <w:rsid w:val="00BF0B73"/>
    <w:rsid w:val="00BF16D8"/>
    <w:rsid w:val="00BF1750"/>
    <w:rsid w:val="00BF1FBD"/>
    <w:rsid w:val="00BF2D66"/>
    <w:rsid w:val="00BF305B"/>
    <w:rsid w:val="00BF308E"/>
    <w:rsid w:val="00BF3659"/>
    <w:rsid w:val="00BF37E2"/>
    <w:rsid w:val="00BF4652"/>
    <w:rsid w:val="00BF472B"/>
    <w:rsid w:val="00BF4855"/>
    <w:rsid w:val="00BF48B4"/>
    <w:rsid w:val="00BF5689"/>
    <w:rsid w:val="00BF5769"/>
    <w:rsid w:val="00BF60B8"/>
    <w:rsid w:val="00BF661B"/>
    <w:rsid w:val="00BF67FA"/>
    <w:rsid w:val="00BF69F0"/>
    <w:rsid w:val="00BF6DBF"/>
    <w:rsid w:val="00BF73FE"/>
    <w:rsid w:val="00C00052"/>
    <w:rsid w:val="00C009E5"/>
    <w:rsid w:val="00C00ACB"/>
    <w:rsid w:val="00C00BF5"/>
    <w:rsid w:val="00C00D04"/>
    <w:rsid w:val="00C013B6"/>
    <w:rsid w:val="00C015BD"/>
    <w:rsid w:val="00C01689"/>
    <w:rsid w:val="00C0174E"/>
    <w:rsid w:val="00C01772"/>
    <w:rsid w:val="00C01BCE"/>
    <w:rsid w:val="00C020E8"/>
    <w:rsid w:val="00C02245"/>
    <w:rsid w:val="00C02C06"/>
    <w:rsid w:val="00C031E2"/>
    <w:rsid w:val="00C03CC9"/>
    <w:rsid w:val="00C03EA6"/>
    <w:rsid w:val="00C053E6"/>
    <w:rsid w:val="00C05C6B"/>
    <w:rsid w:val="00C05D44"/>
    <w:rsid w:val="00C06D8B"/>
    <w:rsid w:val="00C071FA"/>
    <w:rsid w:val="00C073DE"/>
    <w:rsid w:val="00C07CAC"/>
    <w:rsid w:val="00C109C6"/>
    <w:rsid w:val="00C10EE8"/>
    <w:rsid w:val="00C114B4"/>
    <w:rsid w:val="00C117A6"/>
    <w:rsid w:val="00C117A9"/>
    <w:rsid w:val="00C11A26"/>
    <w:rsid w:val="00C120E9"/>
    <w:rsid w:val="00C12287"/>
    <w:rsid w:val="00C127E9"/>
    <w:rsid w:val="00C137F5"/>
    <w:rsid w:val="00C14EFF"/>
    <w:rsid w:val="00C15B56"/>
    <w:rsid w:val="00C15FE2"/>
    <w:rsid w:val="00C16D0C"/>
    <w:rsid w:val="00C17002"/>
    <w:rsid w:val="00C17855"/>
    <w:rsid w:val="00C20A84"/>
    <w:rsid w:val="00C21CF3"/>
    <w:rsid w:val="00C21E4B"/>
    <w:rsid w:val="00C223DA"/>
    <w:rsid w:val="00C2294B"/>
    <w:rsid w:val="00C232A2"/>
    <w:rsid w:val="00C23779"/>
    <w:rsid w:val="00C23AF4"/>
    <w:rsid w:val="00C241D3"/>
    <w:rsid w:val="00C2481C"/>
    <w:rsid w:val="00C24984"/>
    <w:rsid w:val="00C24A75"/>
    <w:rsid w:val="00C24DB4"/>
    <w:rsid w:val="00C25057"/>
    <w:rsid w:val="00C26442"/>
    <w:rsid w:val="00C266F5"/>
    <w:rsid w:val="00C26C9E"/>
    <w:rsid w:val="00C27848"/>
    <w:rsid w:val="00C27A97"/>
    <w:rsid w:val="00C304C4"/>
    <w:rsid w:val="00C30A59"/>
    <w:rsid w:val="00C30AE3"/>
    <w:rsid w:val="00C31AA8"/>
    <w:rsid w:val="00C31EB4"/>
    <w:rsid w:val="00C31F9E"/>
    <w:rsid w:val="00C324C5"/>
    <w:rsid w:val="00C32680"/>
    <w:rsid w:val="00C3290C"/>
    <w:rsid w:val="00C330EC"/>
    <w:rsid w:val="00C344E0"/>
    <w:rsid w:val="00C34523"/>
    <w:rsid w:val="00C34885"/>
    <w:rsid w:val="00C34A4B"/>
    <w:rsid w:val="00C34ACF"/>
    <w:rsid w:val="00C34EB1"/>
    <w:rsid w:val="00C350EC"/>
    <w:rsid w:val="00C35953"/>
    <w:rsid w:val="00C35A40"/>
    <w:rsid w:val="00C35D0D"/>
    <w:rsid w:val="00C36A02"/>
    <w:rsid w:val="00C3780F"/>
    <w:rsid w:val="00C37874"/>
    <w:rsid w:val="00C40209"/>
    <w:rsid w:val="00C40457"/>
    <w:rsid w:val="00C404C1"/>
    <w:rsid w:val="00C40577"/>
    <w:rsid w:val="00C40A96"/>
    <w:rsid w:val="00C40C32"/>
    <w:rsid w:val="00C4146C"/>
    <w:rsid w:val="00C41959"/>
    <w:rsid w:val="00C43FDF"/>
    <w:rsid w:val="00C44725"/>
    <w:rsid w:val="00C447EC"/>
    <w:rsid w:val="00C449F3"/>
    <w:rsid w:val="00C44F42"/>
    <w:rsid w:val="00C459AD"/>
    <w:rsid w:val="00C45F46"/>
    <w:rsid w:val="00C46501"/>
    <w:rsid w:val="00C4770A"/>
    <w:rsid w:val="00C47857"/>
    <w:rsid w:val="00C47A4B"/>
    <w:rsid w:val="00C47B74"/>
    <w:rsid w:val="00C5076F"/>
    <w:rsid w:val="00C507AB"/>
    <w:rsid w:val="00C508E5"/>
    <w:rsid w:val="00C511B3"/>
    <w:rsid w:val="00C5132F"/>
    <w:rsid w:val="00C527BE"/>
    <w:rsid w:val="00C528FD"/>
    <w:rsid w:val="00C52C4C"/>
    <w:rsid w:val="00C52F35"/>
    <w:rsid w:val="00C533F5"/>
    <w:rsid w:val="00C538D0"/>
    <w:rsid w:val="00C53B44"/>
    <w:rsid w:val="00C54333"/>
    <w:rsid w:val="00C557E7"/>
    <w:rsid w:val="00C5594A"/>
    <w:rsid w:val="00C56451"/>
    <w:rsid w:val="00C5662E"/>
    <w:rsid w:val="00C5683B"/>
    <w:rsid w:val="00C56BB6"/>
    <w:rsid w:val="00C56DC6"/>
    <w:rsid w:val="00C577D4"/>
    <w:rsid w:val="00C578E0"/>
    <w:rsid w:val="00C6013F"/>
    <w:rsid w:val="00C61122"/>
    <w:rsid w:val="00C61809"/>
    <w:rsid w:val="00C62B92"/>
    <w:rsid w:val="00C635A0"/>
    <w:rsid w:val="00C636C7"/>
    <w:rsid w:val="00C63B58"/>
    <w:rsid w:val="00C63BB8"/>
    <w:rsid w:val="00C63DB1"/>
    <w:rsid w:val="00C63F01"/>
    <w:rsid w:val="00C64B0E"/>
    <w:rsid w:val="00C64F10"/>
    <w:rsid w:val="00C651EF"/>
    <w:rsid w:val="00C6680E"/>
    <w:rsid w:val="00C66E3C"/>
    <w:rsid w:val="00C66ECD"/>
    <w:rsid w:val="00C674C1"/>
    <w:rsid w:val="00C703AA"/>
    <w:rsid w:val="00C70A14"/>
    <w:rsid w:val="00C71835"/>
    <w:rsid w:val="00C71B29"/>
    <w:rsid w:val="00C71C63"/>
    <w:rsid w:val="00C71CA6"/>
    <w:rsid w:val="00C72500"/>
    <w:rsid w:val="00C725B7"/>
    <w:rsid w:val="00C73079"/>
    <w:rsid w:val="00C734DC"/>
    <w:rsid w:val="00C73523"/>
    <w:rsid w:val="00C73B7A"/>
    <w:rsid w:val="00C74281"/>
    <w:rsid w:val="00C74395"/>
    <w:rsid w:val="00C744C0"/>
    <w:rsid w:val="00C74E41"/>
    <w:rsid w:val="00C75952"/>
    <w:rsid w:val="00C75E07"/>
    <w:rsid w:val="00C76A74"/>
    <w:rsid w:val="00C76B2D"/>
    <w:rsid w:val="00C76C4F"/>
    <w:rsid w:val="00C7711D"/>
    <w:rsid w:val="00C7773D"/>
    <w:rsid w:val="00C804CB"/>
    <w:rsid w:val="00C8052D"/>
    <w:rsid w:val="00C80BD8"/>
    <w:rsid w:val="00C81778"/>
    <w:rsid w:val="00C81A5B"/>
    <w:rsid w:val="00C81DAE"/>
    <w:rsid w:val="00C81FAE"/>
    <w:rsid w:val="00C81FBB"/>
    <w:rsid w:val="00C82488"/>
    <w:rsid w:val="00C8253C"/>
    <w:rsid w:val="00C82729"/>
    <w:rsid w:val="00C8297E"/>
    <w:rsid w:val="00C829C5"/>
    <w:rsid w:val="00C82E55"/>
    <w:rsid w:val="00C83EF8"/>
    <w:rsid w:val="00C840F7"/>
    <w:rsid w:val="00C8512E"/>
    <w:rsid w:val="00C85650"/>
    <w:rsid w:val="00C8587C"/>
    <w:rsid w:val="00C85941"/>
    <w:rsid w:val="00C85F78"/>
    <w:rsid w:val="00C85FB6"/>
    <w:rsid w:val="00C8628E"/>
    <w:rsid w:val="00C862E2"/>
    <w:rsid w:val="00C879D5"/>
    <w:rsid w:val="00C9008D"/>
    <w:rsid w:val="00C90F1B"/>
    <w:rsid w:val="00C914B9"/>
    <w:rsid w:val="00C922F2"/>
    <w:rsid w:val="00C923F6"/>
    <w:rsid w:val="00C92CAE"/>
    <w:rsid w:val="00C936B1"/>
    <w:rsid w:val="00C94317"/>
    <w:rsid w:val="00C94387"/>
    <w:rsid w:val="00C94B80"/>
    <w:rsid w:val="00C9507D"/>
    <w:rsid w:val="00C95163"/>
    <w:rsid w:val="00C958A2"/>
    <w:rsid w:val="00C95C2D"/>
    <w:rsid w:val="00C95FC9"/>
    <w:rsid w:val="00C960B8"/>
    <w:rsid w:val="00C96390"/>
    <w:rsid w:val="00C963FC"/>
    <w:rsid w:val="00C964FA"/>
    <w:rsid w:val="00C96AE9"/>
    <w:rsid w:val="00C96C22"/>
    <w:rsid w:val="00C97BE4"/>
    <w:rsid w:val="00C97C73"/>
    <w:rsid w:val="00CA025D"/>
    <w:rsid w:val="00CA0475"/>
    <w:rsid w:val="00CA0FC6"/>
    <w:rsid w:val="00CA1BF4"/>
    <w:rsid w:val="00CA294F"/>
    <w:rsid w:val="00CA2D18"/>
    <w:rsid w:val="00CA3314"/>
    <w:rsid w:val="00CA3AA2"/>
    <w:rsid w:val="00CA3C86"/>
    <w:rsid w:val="00CA3FAC"/>
    <w:rsid w:val="00CA4054"/>
    <w:rsid w:val="00CA414D"/>
    <w:rsid w:val="00CA41A0"/>
    <w:rsid w:val="00CA49F7"/>
    <w:rsid w:val="00CA4DE6"/>
    <w:rsid w:val="00CA575C"/>
    <w:rsid w:val="00CA5F99"/>
    <w:rsid w:val="00CA6DA4"/>
    <w:rsid w:val="00CA6F61"/>
    <w:rsid w:val="00CA73CB"/>
    <w:rsid w:val="00CA75D7"/>
    <w:rsid w:val="00CA781B"/>
    <w:rsid w:val="00CB179F"/>
    <w:rsid w:val="00CB17BD"/>
    <w:rsid w:val="00CB1852"/>
    <w:rsid w:val="00CB408D"/>
    <w:rsid w:val="00CB45E6"/>
    <w:rsid w:val="00CB4C43"/>
    <w:rsid w:val="00CB54E6"/>
    <w:rsid w:val="00CB5C8D"/>
    <w:rsid w:val="00CB64E2"/>
    <w:rsid w:val="00CB67ED"/>
    <w:rsid w:val="00CB723C"/>
    <w:rsid w:val="00CB7711"/>
    <w:rsid w:val="00CC087E"/>
    <w:rsid w:val="00CC0E9F"/>
    <w:rsid w:val="00CC1B1A"/>
    <w:rsid w:val="00CC1E43"/>
    <w:rsid w:val="00CC1F83"/>
    <w:rsid w:val="00CC21FE"/>
    <w:rsid w:val="00CC2482"/>
    <w:rsid w:val="00CC2AEB"/>
    <w:rsid w:val="00CC3B00"/>
    <w:rsid w:val="00CC3BF5"/>
    <w:rsid w:val="00CC3EA5"/>
    <w:rsid w:val="00CC41B2"/>
    <w:rsid w:val="00CC48E3"/>
    <w:rsid w:val="00CC4D7E"/>
    <w:rsid w:val="00CC5622"/>
    <w:rsid w:val="00CC5F40"/>
    <w:rsid w:val="00CC5F71"/>
    <w:rsid w:val="00CC744F"/>
    <w:rsid w:val="00CC7774"/>
    <w:rsid w:val="00CC7C4C"/>
    <w:rsid w:val="00CD0181"/>
    <w:rsid w:val="00CD0657"/>
    <w:rsid w:val="00CD123D"/>
    <w:rsid w:val="00CD2D89"/>
    <w:rsid w:val="00CD3063"/>
    <w:rsid w:val="00CD36E0"/>
    <w:rsid w:val="00CD3D15"/>
    <w:rsid w:val="00CD5386"/>
    <w:rsid w:val="00CD55FE"/>
    <w:rsid w:val="00CD5C93"/>
    <w:rsid w:val="00CD640B"/>
    <w:rsid w:val="00CD6617"/>
    <w:rsid w:val="00CD6B91"/>
    <w:rsid w:val="00CD749C"/>
    <w:rsid w:val="00CD7526"/>
    <w:rsid w:val="00CD77DC"/>
    <w:rsid w:val="00CD7817"/>
    <w:rsid w:val="00CD794B"/>
    <w:rsid w:val="00CD7B49"/>
    <w:rsid w:val="00CD7DAA"/>
    <w:rsid w:val="00CD7DCB"/>
    <w:rsid w:val="00CD7E39"/>
    <w:rsid w:val="00CE0E36"/>
    <w:rsid w:val="00CE128D"/>
    <w:rsid w:val="00CE13C6"/>
    <w:rsid w:val="00CE147E"/>
    <w:rsid w:val="00CE23A0"/>
    <w:rsid w:val="00CE2412"/>
    <w:rsid w:val="00CE35A0"/>
    <w:rsid w:val="00CE3B10"/>
    <w:rsid w:val="00CE3EB6"/>
    <w:rsid w:val="00CE3EF8"/>
    <w:rsid w:val="00CE41F2"/>
    <w:rsid w:val="00CE420C"/>
    <w:rsid w:val="00CE4927"/>
    <w:rsid w:val="00CE4E44"/>
    <w:rsid w:val="00CE5268"/>
    <w:rsid w:val="00CE5903"/>
    <w:rsid w:val="00CE5C88"/>
    <w:rsid w:val="00CE63E4"/>
    <w:rsid w:val="00CE68A3"/>
    <w:rsid w:val="00CE6AC5"/>
    <w:rsid w:val="00CE6AD8"/>
    <w:rsid w:val="00CE73A7"/>
    <w:rsid w:val="00CF0249"/>
    <w:rsid w:val="00CF0737"/>
    <w:rsid w:val="00CF0973"/>
    <w:rsid w:val="00CF0AF1"/>
    <w:rsid w:val="00CF14F5"/>
    <w:rsid w:val="00CF1587"/>
    <w:rsid w:val="00CF16EB"/>
    <w:rsid w:val="00CF178E"/>
    <w:rsid w:val="00CF1CE2"/>
    <w:rsid w:val="00CF1FCF"/>
    <w:rsid w:val="00CF205D"/>
    <w:rsid w:val="00CF2680"/>
    <w:rsid w:val="00CF2EA3"/>
    <w:rsid w:val="00CF3369"/>
    <w:rsid w:val="00CF3447"/>
    <w:rsid w:val="00CF39FD"/>
    <w:rsid w:val="00CF3AD0"/>
    <w:rsid w:val="00CF3D96"/>
    <w:rsid w:val="00CF465A"/>
    <w:rsid w:val="00CF4BE7"/>
    <w:rsid w:val="00CF4E20"/>
    <w:rsid w:val="00CF5447"/>
    <w:rsid w:val="00CF5826"/>
    <w:rsid w:val="00CF59FB"/>
    <w:rsid w:val="00CF5B35"/>
    <w:rsid w:val="00CF5F8E"/>
    <w:rsid w:val="00CF638D"/>
    <w:rsid w:val="00CF715B"/>
    <w:rsid w:val="00CF7478"/>
    <w:rsid w:val="00CF7C0E"/>
    <w:rsid w:val="00CF7F2A"/>
    <w:rsid w:val="00D00176"/>
    <w:rsid w:val="00D00C82"/>
    <w:rsid w:val="00D0114F"/>
    <w:rsid w:val="00D0149D"/>
    <w:rsid w:val="00D01A33"/>
    <w:rsid w:val="00D01CBC"/>
    <w:rsid w:val="00D02F39"/>
    <w:rsid w:val="00D0300C"/>
    <w:rsid w:val="00D030C9"/>
    <w:rsid w:val="00D03150"/>
    <w:rsid w:val="00D03D27"/>
    <w:rsid w:val="00D042F9"/>
    <w:rsid w:val="00D04CDA"/>
    <w:rsid w:val="00D04D4F"/>
    <w:rsid w:val="00D057F2"/>
    <w:rsid w:val="00D05CB0"/>
    <w:rsid w:val="00D05DC4"/>
    <w:rsid w:val="00D063D0"/>
    <w:rsid w:val="00D0648A"/>
    <w:rsid w:val="00D06812"/>
    <w:rsid w:val="00D06931"/>
    <w:rsid w:val="00D06A42"/>
    <w:rsid w:val="00D0742B"/>
    <w:rsid w:val="00D079FB"/>
    <w:rsid w:val="00D100F1"/>
    <w:rsid w:val="00D1011F"/>
    <w:rsid w:val="00D1054E"/>
    <w:rsid w:val="00D106FA"/>
    <w:rsid w:val="00D10BF1"/>
    <w:rsid w:val="00D1103C"/>
    <w:rsid w:val="00D1135D"/>
    <w:rsid w:val="00D116D9"/>
    <w:rsid w:val="00D1279C"/>
    <w:rsid w:val="00D12CD8"/>
    <w:rsid w:val="00D13EF4"/>
    <w:rsid w:val="00D14ABE"/>
    <w:rsid w:val="00D15180"/>
    <w:rsid w:val="00D15B56"/>
    <w:rsid w:val="00D15C39"/>
    <w:rsid w:val="00D16118"/>
    <w:rsid w:val="00D1628B"/>
    <w:rsid w:val="00D169E9"/>
    <w:rsid w:val="00D1719F"/>
    <w:rsid w:val="00D171D5"/>
    <w:rsid w:val="00D174EC"/>
    <w:rsid w:val="00D17709"/>
    <w:rsid w:val="00D17AB2"/>
    <w:rsid w:val="00D17BE5"/>
    <w:rsid w:val="00D202F6"/>
    <w:rsid w:val="00D20E76"/>
    <w:rsid w:val="00D2148F"/>
    <w:rsid w:val="00D21553"/>
    <w:rsid w:val="00D21725"/>
    <w:rsid w:val="00D221AF"/>
    <w:rsid w:val="00D2291F"/>
    <w:rsid w:val="00D2319F"/>
    <w:rsid w:val="00D23387"/>
    <w:rsid w:val="00D23D66"/>
    <w:rsid w:val="00D248FB"/>
    <w:rsid w:val="00D24FF5"/>
    <w:rsid w:val="00D251CE"/>
    <w:rsid w:val="00D25638"/>
    <w:rsid w:val="00D26D45"/>
    <w:rsid w:val="00D27D37"/>
    <w:rsid w:val="00D27F2F"/>
    <w:rsid w:val="00D30371"/>
    <w:rsid w:val="00D30E43"/>
    <w:rsid w:val="00D31225"/>
    <w:rsid w:val="00D31E8B"/>
    <w:rsid w:val="00D3221E"/>
    <w:rsid w:val="00D329DE"/>
    <w:rsid w:val="00D32CE0"/>
    <w:rsid w:val="00D33489"/>
    <w:rsid w:val="00D3389D"/>
    <w:rsid w:val="00D3412A"/>
    <w:rsid w:val="00D34315"/>
    <w:rsid w:val="00D34B53"/>
    <w:rsid w:val="00D355F4"/>
    <w:rsid w:val="00D35F16"/>
    <w:rsid w:val="00D367A5"/>
    <w:rsid w:val="00D369AF"/>
    <w:rsid w:val="00D36C5A"/>
    <w:rsid w:val="00D36F72"/>
    <w:rsid w:val="00D37317"/>
    <w:rsid w:val="00D3775B"/>
    <w:rsid w:val="00D37A06"/>
    <w:rsid w:val="00D402BD"/>
    <w:rsid w:val="00D40B8A"/>
    <w:rsid w:val="00D40F3C"/>
    <w:rsid w:val="00D41EAF"/>
    <w:rsid w:val="00D42073"/>
    <w:rsid w:val="00D42ACA"/>
    <w:rsid w:val="00D4303D"/>
    <w:rsid w:val="00D440B6"/>
    <w:rsid w:val="00D441B4"/>
    <w:rsid w:val="00D443E9"/>
    <w:rsid w:val="00D44D83"/>
    <w:rsid w:val="00D45D2B"/>
    <w:rsid w:val="00D45F0F"/>
    <w:rsid w:val="00D4604D"/>
    <w:rsid w:val="00D463AC"/>
    <w:rsid w:val="00D46823"/>
    <w:rsid w:val="00D46CB4"/>
    <w:rsid w:val="00D46DA1"/>
    <w:rsid w:val="00D47136"/>
    <w:rsid w:val="00D47886"/>
    <w:rsid w:val="00D47F4B"/>
    <w:rsid w:val="00D502F5"/>
    <w:rsid w:val="00D5076D"/>
    <w:rsid w:val="00D50F03"/>
    <w:rsid w:val="00D51464"/>
    <w:rsid w:val="00D525A1"/>
    <w:rsid w:val="00D52817"/>
    <w:rsid w:val="00D5414C"/>
    <w:rsid w:val="00D544B0"/>
    <w:rsid w:val="00D5478B"/>
    <w:rsid w:val="00D54BF9"/>
    <w:rsid w:val="00D55361"/>
    <w:rsid w:val="00D5624D"/>
    <w:rsid w:val="00D564CA"/>
    <w:rsid w:val="00D568D6"/>
    <w:rsid w:val="00D568E8"/>
    <w:rsid w:val="00D56AAF"/>
    <w:rsid w:val="00D56FCC"/>
    <w:rsid w:val="00D57C52"/>
    <w:rsid w:val="00D60AAF"/>
    <w:rsid w:val="00D61133"/>
    <w:rsid w:val="00D612D9"/>
    <w:rsid w:val="00D613CE"/>
    <w:rsid w:val="00D62F60"/>
    <w:rsid w:val="00D63564"/>
    <w:rsid w:val="00D63C2E"/>
    <w:rsid w:val="00D64607"/>
    <w:rsid w:val="00D647A3"/>
    <w:rsid w:val="00D64FD3"/>
    <w:rsid w:val="00D65132"/>
    <w:rsid w:val="00D65915"/>
    <w:rsid w:val="00D65A64"/>
    <w:rsid w:val="00D65E63"/>
    <w:rsid w:val="00D665D2"/>
    <w:rsid w:val="00D669C2"/>
    <w:rsid w:val="00D67009"/>
    <w:rsid w:val="00D67271"/>
    <w:rsid w:val="00D672A4"/>
    <w:rsid w:val="00D679DD"/>
    <w:rsid w:val="00D70DAB"/>
    <w:rsid w:val="00D712B6"/>
    <w:rsid w:val="00D72B3D"/>
    <w:rsid w:val="00D73797"/>
    <w:rsid w:val="00D73CA9"/>
    <w:rsid w:val="00D74B7C"/>
    <w:rsid w:val="00D75591"/>
    <w:rsid w:val="00D75C85"/>
    <w:rsid w:val="00D76F65"/>
    <w:rsid w:val="00D773D9"/>
    <w:rsid w:val="00D77790"/>
    <w:rsid w:val="00D80155"/>
    <w:rsid w:val="00D80701"/>
    <w:rsid w:val="00D80BBF"/>
    <w:rsid w:val="00D80E7D"/>
    <w:rsid w:val="00D811D4"/>
    <w:rsid w:val="00D81413"/>
    <w:rsid w:val="00D81FB1"/>
    <w:rsid w:val="00D82569"/>
    <w:rsid w:val="00D8286C"/>
    <w:rsid w:val="00D83337"/>
    <w:rsid w:val="00D835FD"/>
    <w:rsid w:val="00D83C5D"/>
    <w:rsid w:val="00D83CA3"/>
    <w:rsid w:val="00D84310"/>
    <w:rsid w:val="00D843A4"/>
    <w:rsid w:val="00D8475E"/>
    <w:rsid w:val="00D84E15"/>
    <w:rsid w:val="00D852E5"/>
    <w:rsid w:val="00D85A31"/>
    <w:rsid w:val="00D85E8A"/>
    <w:rsid w:val="00D85F2A"/>
    <w:rsid w:val="00D85FBA"/>
    <w:rsid w:val="00D862DF"/>
    <w:rsid w:val="00D86677"/>
    <w:rsid w:val="00D86707"/>
    <w:rsid w:val="00D86A57"/>
    <w:rsid w:val="00D86C70"/>
    <w:rsid w:val="00D87C82"/>
    <w:rsid w:val="00D90672"/>
    <w:rsid w:val="00D90815"/>
    <w:rsid w:val="00D909BC"/>
    <w:rsid w:val="00D91355"/>
    <w:rsid w:val="00D9194F"/>
    <w:rsid w:val="00D91BA6"/>
    <w:rsid w:val="00D9250B"/>
    <w:rsid w:val="00D92DA6"/>
    <w:rsid w:val="00D9334A"/>
    <w:rsid w:val="00D934B2"/>
    <w:rsid w:val="00D93905"/>
    <w:rsid w:val="00D93B5D"/>
    <w:rsid w:val="00D93E21"/>
    <w:rsid w:val="00D94115"/>
    <w:rsid w:val="00D94385"/>
    <w:rsid w:val="00D94B86"/>
    <w:rsid w:val="00D95B34"/>
    <w:rsid w:val="00D95FAE"/>
    <w:rsid w:val="00D96301"/>
    <w:rsid w:val="00D968BC"/>
    <w:rsid w:val="00D96D11"/>
    <w:rsid w:val="00D96D47"/>
    <w:rsid w:val="00D972AB"/>
    <w:rsid w:val="00D97466"/>
    <w:rsid w:val="00D97914"/>
    <w:rsid w:val="00D97E53"/>
    <w:rsid w:val="00DA0EF3"/>
    <w:rsid w:val="00DA1071"/>
    <w:rsid w:val="00DA160D"/>
    <w:rsid w:val="00DA1804"/>
    <w:rsid w:val="00DA1B70"/>
    <w:rsid w:val="00DA1DF8"/>
    <w:rsid w:val="00DA2AC2"/>
    <w:rsid w:val="00DA385D"/>
    <w:rsid w:val="00DA3903"/>
    <w:rsid w:val="00DA3E2E"/>
    <w:rsid w:val="00DA3EF0"/>
    <w:rsid w:val="00DA4293"/>
    <w:rsid w:val="00DA501C"/>
    <w:rsid w:val="00DA50EB"/>
    <w:rsid w:val="00DA51CE"/>
    <w:rsid w:val="00DA57DF"/>
    <w:rsid w:val="00DA584D"/>
    <w:rsid w:val="00DA59A5"/>
    <w:rsid w:val="00DA6226"/>
    <w:rsid w:val="00DA6476"/>
    <w:rsid w:val="00DA650D"/>
    <w:rsid w:val="00DA66A4"/>
    <w:rsid w:val="00DA6D2D"/>
    <w:rsid w:val="00DA6FF1"/>
    <w:rsid w:val="00DB0A97"/>
    <w:rsid w:val="00DB0BC6"/>
    <w:rsid w:val="00DB18ED"/>
    <w:rsid w:val="00DB18FF"/>
    <w:rsid w:val="00DB1B48"/>
    <w:rsid w:val="00DB20CE"/>
    <w:rsid w:val="00DB3591"/>
    <w:rsid w:val="00DB35C3"/>
    <w:rsid w:val="00DB3672"/>
    <w:rsid w:val="00DB3C32"/>
    <w:rsid w:val="00DB3F6E"/>
    <w:rsid w:val="00DB428D"/>
    <w:rsid w:val="00DB4401"/>
    <w:rsid w:val="00DB476D"/>
    <w:rsid w:val="00DB50AA"/>
    <w:rsid w:val="00DB53A2"/>
    <w:rsid w:val="00DB56D2"/>
    <w:rsid w:val="00DB61DA"/>
    <w:rsid w:val="00DB68EB"/>
    <w:rsid w:val="00DB6B05"/>
    <w:rsid w:val="00DB765C"/>
    <w:rsid w:val="00DC0330"/>
    <w:rsid w:val="00DC0639"/>
    <w:rsid w:val="00DC0EAB"/>
    <w:rsid w:val="00DC1787"/>
    <w:rsid w:val="00DC18C9"/>
    <w:rsid w:val="00DC2169"/>
    <w:rsid w:val="00DC2571"/>
    <w:rsid w:val="00DC495C"/>
    <w:rsid w:val="00DC49BB"/>
    <w:rsid w:val="00DC4B33"/>
    <w:rsid w:val="00DC4CC7"/>
    <w:rsid w:val="00DC4F5C"/>
    <w:rsid w:val="00DC4FB6"/>
    <w:rsid w:val="00DC5159"/>
    <w:rsid w:val="00DC55BB"/>
    <w:rsid w:val="00DC582C"/>
    <w:rsid w:val="00DC64F6"/>
    <w:rsid w:val="00DC691E"/>
    <w:rsid w:val="00DC6CC5"/>
    <w:rsid w:val="00DC72AD"/>
    <w:rsid w:val="00DC74F8"/>
    <w:rsid w:val="00DC757F"/>
    <w:rsid w:val="00DC771F"/>
    <w:rsid w:val="00DC7B67"/>
    <w:rsid w:val="00DD0242"/>
    <w:rsid w:val="00DD0335"/>
    <w:rsid w:val="00DD0732"/>
    <w:rsid w:val="00DD0D1C"/>
    <w:rsid w:val="00DD15B6"/>
    <w:rsid w:val="00DD161B"/>
    <w:rsid w:val="00DD1D20"/>
    <w:rsid w:val="00DD1E3B"/>
    <w:rsid w:val="00DD27E3"/>
    <w:rsid w:val="00DD3218"/>
    <w:rsid w:val="00DD33A9"/>
    <w:rsid w:val="00DD3743"/>
    <w:rsid w:val="00DD383F"/>
    <w:rsid w:val="00DD42F4"/>
    <w:rsid w:val="00DD4706"/>
    <w:rsid w:val="00DD5526"/>
    <w:rsid w:val="00DD56B2"/>
    <w:rsid w:val="00DD602F"/>
    <w:rsid w:val="00DD6102"/>
    <w:rsid w:val="00DD6465"/>
    <w:rsid w:val="00DD6ABB"/>
    <w:rsid w:val="00DD6C35"/>
    <w:rsid w:val="00DD6DA7"/>
    <w:rsid w:val="00DD6F7E"/>
    <w:rsid w:val="00DD7B11"/>
    <w:rsid w:val="00DE01E0"/>
    <w:rsid w:val="00DE0B90"/>
    <w:rsid w:val="00DE1945"/>
    <w:rsid w:val="00DE1D44"/>
    <w:rsid w:val="00DE1F28"/>
    <w:rsid w:val="00DE2A7F"/>
    <w:rsid w:val="00DE3788"/>
    <w:rsid w:val="00DE3942"/>
    <w:rsid w:val="00DE3951"/>
    <w:rsid w:val="00DE3976"/>
    <w:rsid w:val="00DE3B26"/>
    <w:rsid w:val="00DE5470"/>
    <w:rsid w:val="00DE632E"/>
    <w:rsid w:val="00DE693A"/>
    <w:rsid w:val="00DE6F40"/>
    <w:rsid w:val="00DE73E4"/>
    <w:rsid w:val="00DF086E"/>
    <w:rsid w:val="00DF10A3"/>
    <w:rsid w:val="00DF1A12"/>
    <w:rsid w:val="00DF1E7B"/>
    <w:rsid w:val="00DF1FCD"/>
    <w:rsid w:val="00DF21B6"/>
    <w:rsid w:val="00DF27FD"/>
    <w:rsid w:val="00DF29C5"/>
    <w:rsid w:val="00DF2FDF"/>
    <w:rsid w:val="00DF327A"/>
    <w:rsid w:val="00DF3358"/>
    <w:rsid w:val="00DF361D"/>
    <w:rsid w:val="00DF3867"/>
    <w:rsid w:val="00DF3E36"/>
    <w:rsid w:val="00DF3E75"/>
    <w:rsid w:val="00DF4F57"/>
    <w:rsid w:val="00DF5991"/>
    <w:rsid w:val="00DF5A1F"/>
    <w:rsid w:val="00DF5A2E"/>
    <w:rsid w:val="00DF5D0C"/>
    <w:rsid w:val="00DF6107"/>
    <w:rsid w:val="00DF691B"/>
    <w:rsid w:val="00DF6C53"/>
    <w:rsid w:val="00E0073A"/>
    <w:rsid w:val="00E0218A"/>
    <w:rsid w:val="00E025CB"/>
    <w:rsid w:val="00E02FBC"/>
    <w:rsid w:val="00E04098"/>
    <w:rsid w:val="00E0418A"/>
    <w:rsid w:val="00E0526D"/>
    <w:rsid w:val="00E05378"/>
    <w:rsid w:val="00E066D4"/>
    <w:rsid w:val="00E07128"/>
    <w:rsid w:val="00E071B4"/>
    <w:rsid w:val="00E0742E"/>
    <w:rsid w:val="00E077D4"/>
    <w:rsid w:val="00E078B2"/>
    <w:rsid w:val="00E0791D"/>
    <w:rsid w:val="00E0791F"/>
    <w:rsid w:val="00E103B3"/>
    <w:rsid w:val="00E11E22"/>
    <w:rsid w:val="00E11EB3"/>
    <w:rsid w:val="00E1228B"/>
    <w:rsid w:val="00E123C5"/>
    <w:rsid w:val="00E12723"/>
    <w:rsid w:val="00E12731"/>
    <w:rsid w:val="00E12EFA"/>
    <w:rsid w:val="00E1324E"/>
    <w:rsid w:val="00E13A96"/>
    <w:rsid w:val="00E13E80"/>
    <w:rsid w:val="00E151AF"/>
    <w:rsid w:val="00E15332"/>
    <w:rsid w:val="00E1560D"/>
    <w:rsid w:val="00E15B26"/>
    <w:rsid w:val="00E15D8A"/>
    <w:rsid w:val="00E15DFD"/>
    <w:rsid w:val="00E1679A"/>
    <w:rsid w:val="00E167FD"/>
    <w:rsid w:val="00E167FF"/>
    <w:rsid w:val="00E169E0"/>
    <w:rsid w:val="00E17085"/>
    <w:rsid w:val="00E17B10"/>
    <w:rsid w:val="00E20424"/>
    <w:rsid w:val="00E210FF"/>
    <w:rsid w:val="00E21216"/>
    <w:rsid w:val="00E21830"/>
    <w:rsid w:val="00E2197F"/>
    <w:rsid w:val="00E21DDC"/>
    <w:rsid w:val="00E225A7"/>
    <w:rsid w:val="00E2289D"/>
    <w:rsid w:val="00E22958"/>
    <w:rsid w:val="00E22C34"/>
    <w:rsid w:val="00E22C4E"/>
    <w:rsid w:val="00E23162"/>
    <w:rsid w:val="00E2322C"/>
    <w:rsid w:val="00E23F78"/>
    <w:rsid w:val="00E240D4"/>
    <w:rsid w:val="00E24EC5"/>
    <w:rsid w:val="00E24F61"/>
    <w:rsid w:val="00E2564E"/>
    <w:rsid w:val="00E2589A"/>
    <w:rsid w:val="00E25913"/>
    <w:rsid w:val="00E25B64"/>
    <w:rsid w:val="00E2628B"/>
    <w:rsid w:val="00E26672"/>
    <w:rsid w:val="00E276EA"/>
    <w:rsid w:val="00E27778"/>
    <w:rsid w:val="00E27DC2"/>
    <w:rsid w:val="00E30563"/>
    <w:rsid w:val="00E30E23"/>
    <w:rsid w:val="00E31840"/>
    <w:rsid w:val="00E31EAE"/>
    <w:rsid w:val="00E31F41"/>
    <w:rsid w:val="00E32C16"/>
    <w:rsid w:val="00E32D0D"/>
    <w:rsid w:val="00E32EA7"/>
    <w:rsid w:val="00E33938"/>
    <w:rsid w:val="00E33E21"/>
    <w:rsid w:val="00E33E24"/>
    <w:rsid w:val="00E33FEE"/>
    <w:rsid w:val="00E34198"/>
    <w:rsid w:val="00E341B6"/>
    <w:rsid w:val="00E35AC6"/>
    <w:rsid w:val="00E36323"/>
    <w:rsid w:val="00E367CB"/>
    <w:rsid w:val="00E36EB4"/>
    <w:rsid w:val="00E37024"/>
    <w:rsid w:val="00E376EA"/>
    <w:rsid w:val="00E37DCE"/>
    <w:rsid w:val="00E400C5"/>
    <w:rsid w:val="00E40247"/>
    <w:rsid w:val="00E40A04"/>
    <w:rsid w:val="00E40B1C"/>
    <w:rsid w:val="00E410C8"/>
    <w:rsid w:val="00E411AA"/>
    <w:rsid w:val="00E4172B"/>
    <w:rsid w:val="00E4198F"/>
    <w:rsid w:val="00E423FF"/>
    <w:rsid w:val="00E4299B"/>
    <w:rsid w:val="00E42B38"/>
    <w:rsid w:val="00E42E16"/>
    <w:rsid w:val="00E4388B"/>
    <w:rsid w:val="00E43F8D"/>
    <w:rsid w:val="00E44220"/>
    <w:rsid w:val="00E44728"/>
    <w:rsid w:val="00E447E1"/>
    <w:rsid w:val="00E44AC8"/>
    <w:rsid w:val="00E44B21"/>
    <w:rsid w:val="00E45FEB"/>
    <w:rsid w:val="00E462AE"/>
    <w:rsid w:val="00E46686"/>
    <w:rsid w:val="00E46BBE"/>
    <w:rsid w:val="00E46F61"/>
    <w:rsid w:val="00E4716C"/>
    <w:rsid w:val="00E47CA3"/>
    <w:rsid w:val="00E503ED"/>
    <w:rsid w:val="00E511AF"/>
    <w:rsid w:val="00E52473"/>
    <w:rsid w:val="00E52AAE"/>
    <w:rsid w:val="00E53019"/>
    <w:rsid w:val="00E53332"/>
    <w:rsid w:val="00E542A0"/>
    <w:rsid w:val="00E5454C"/>
    <w:rsid w:val="00E54EC1"/>
    <w:rsid w:val="00E551B1"/>
    <w:rsid w:val="00E55528"/>
    <w:rsid w:val="00E559EB"/>
    <w:rsid w:val="00E55A29"/>
    <w:rsid w:val="00E55E7D"/>
    <w:rsid w:val="00E562B1"/>
    <w:rsid w:val="00E56446"/>
    <w:rsid w:val="00E5726E"/>
    <w:rsid w:val="00E57B44"/>
    <w:rsid w:val="00E602AA"/>
    <w:rsid w:val="00E60F1D"/>
    <w:rsid w:val="00E615AF"/>
    <w:rsid w:val="00E61D45"/>
    <w:rsid w:val="00E62766"/>
    <w:rsid w:val="00E62838"/>
    <w:rsid w:val="00E62981"/>
    <w:rsid w:val="00E62F53"/>
    <w:rsid w:val="00E63AEA"/>
    <w:rsid w:val="00E63F46"/>
    <w:rsid w:val="00E645F6"/>
    <w:rsid w:val="00E647B9"/>
    <w:rsid w:val="00E64887"/>
    <w:rsid w:val="00E64D1D"/>
    <w:rsid w:val="00E65745"/>
    <w:rsid w:val="00E65DCE"/>
    <w:rsid w:val="00E66B7A"/>
    <w:rsid w:val="00E679F7"/>
    <w:rsid w:val="00E67EC5"/>
    <w:rsid w:val="00E67F52"/>
    <w:rsid w:val="00E70148"/>
    <w:rsid w:val="00E7061B"/>
    <w:rsid w:val="00E71149"/>
    <w:rsid w:val="00E71905"/>
    <w:rsid w:val="00E71A54"/>
    <w:rsid w:val="00E72A77"/>
    <w:rsid w:val="00E73EC6"/>
    <w:rsid w:val="00E742F3"/>
    <w:rsid w:val="00E748C4"/>
    <w:rsid w:val="00E75592"/>
    <w:rsid w:val="00E75C0A"/>
    <w:rsid w:val="00E7645A"/>
    <w:rsid w:val="00E76847"/>
    <w:rsid w:val="00E76D02"/>
    <w:rsid w:val="00E76FAA"/>
    <w:rsid w:val="00E77433"/>
    <w:rsid w:val="00E7756F"/>
    <w:rsid w:val="00E80167"/>
    <w:rsid w:val="00E8144A"/>
    <w:rsid w:val="00E81CBE"/>
    <w:rsid w:val="00E822C8"/>
    <w:rsid w:val="00E825A3"/>
    <w:rsid w:val="00E82C61"/>
    <w:rsid w:val="00E82E28"/>
    <w:rsid w:val="00E82E55"/>
    <w:rsid w:val="00E8324E"/>
    <w:rsid w:val="00E8508A"/>
    <w:rsid w:val="00E85448"/>
    <w:rsid w:val="00E858AA"/>
    <w:rsid w:val="00E8620F"/>
    <w:rsid w:val="00E866E4"/>
    <w:rsid w:val="00E868EF"/>
    <w:rsid w:val="00E8692E"/>
    <w:rsid w:val="00E86FBD"/>
    <w:rsid w:val="00E86FE3"/>
    <w:rsid w:val="00E875DB"/>
    <w:rsid w:val="00E875E6"/>
    <w:rsid w:val="00E905E4"/>
    <w:rsid w:val="00E90F29"/>
    <w:rsid w:val="00E9131F"/>
    <w:rsid w:val="00E91566"/>
    <w:rsid w:val="00E91D10"/>
    <w:rsid w:val="00E925B3"/>
    <w:rsid w:val="00E925E7"/>
    <w:rsid w:val="00E9286D"/>
    <w:rsid w:val="00E92AE4"/>
    <w:rsid w:val="00E934D9"/>
    <w:rsid w:val="00E93FB9"/>
    <w:rsid w:val="00E9400E"/>
    <w:rsid w:val="00E9429A"/>
    <w:rsid w:val="00E94BB1"/>
    <w:rsid w:val="00E959F1"/>
    <w:rsid w:val="00E95DA7"/>
    <w:rsid w:val="00E95E58"/>
    <w:rsid w:val="00E963DD"/>
    <w:rsid w:val="00E965FA"/>
    <w:rsid w:val="00E96713"/>
    <w:rsid w:val="00E968B0"/>
    <w:rsid w:val="00E96DAC"/>
    <w:rsid w:val="00E96EE6"/>
    <w:rsid w:val="00E96FCE"/>
    <w:rsid w:val="00E97CF1"/>
    <w:rsid w:val="00E97D0D"/>
    <w:rsid w:val="00E97F36"/>
    <w:rsid w:val="00EA01A1"/>
    <w:rsid w:val="00EA10A9"/>
    <w:rsid w:val="00EA15AD"/>
    <w:rsid w:val="00EA161A"/>
    <w:rsid w:val="00EA1ABC"/>
    <w:rsid w:val="00EA236D"/>
    <w:rsid w:val="00EA282C"/>
    <w:rsid w:val="00EA2A07"/>
    <w:rsid w:val="00EA3167"/>
    <w:rsid w:val="00EA3219"/>
    <w:rsid w:val="00EA3E0E"/>
    <w:rsid w:val="00EA3E45"/>
    <w:rsid w:val="00EA4084"/>
    <w:rsid w:val="00EA53CD"/>
    <w:rsid w:val="00EA5F5E"/>
    <w:rsid w:val="00EB002C"/>
    <w:rsid w:val="00EB0A4B"/>
    <w:rsid w:val="00EB0F5F"/>
    <w:rsid w:val="00EB1143"/>
    <w:rsid w:val="00EB151E"/>
    <w:rsid w:val="00EB1726"/>
    <w:rsid w:val="00EB1B49"/>
    <w:rsid w:val="00EB2140"/>
    <w:rsid w:val="00EB2661"/>
    <w:rsid w:val="00EB2B56"/>
    <w:rsid w:val="00EB3019"/>
    <w:rsid w:val="00EB306E"/>
    <w:rsid w:val="00EB324D"/>
    <w:rsid w:val="00EB33AD"/>
    <w:rsid w:val="00EB34F9"/>
    <w:rsid w:val="00EB41E8"/>
    <w:rsid w:val="00EB435B"/>
    <w:rsid w:val="00EB48C8"/>
    <w:rsid w:val="00EB5AE5"/>
    <w:rsid w:val="00EB5DCA"/>
    <w:rsid w:val="00EB6573"/>
    <w:rsid w:val="00EB6ED4"/>
    <w:rsid w:val="00EB753F"/>
    <w:rsid w:val="00EC062B"/>
    <w:rsid w:val="00EC0B0E"/>
    <w:rsid w:val="00EC0C5F"/>
    <w:rsid w:val="00EC16D3"/>
    <w:rsid w:val="00EC1A9A"/>
    <w:rsid w:val="00EC1B18"/>
    <w:rsid w:val="00EC23F4"/>
    <w:rsid w:val="00EC2676"/>
    <w:rsid w:val="00EC2A5B"/>
    <w:rsid w:val="00EC43E6"/>
    <w:rsid w:val="00EC4A4A"/>
    <w:rsid w:val="00EC4A6A"/>
    <w:rsid w:val="00EC4EE8"/>
    <w:rsid w:val="00EC54A8"/>
    <w:rsid w:val="00EC58A9"/>
    <w:rsid w:val="00EC5A0D"/>
    <w:rsid w:val="00EC6226"/>
    <w:rsid w:val="00EC6467"/>
    <w:rsid w:val="00EC69E6"/>
    <w:rsid w:val="00EC72C2"/>
    <w:rsid w:val="00EC7B33"/>
    <w:rsid w:val="00EC7DC0"/>
    <w:rsid w:val="00ED0555"/>
    <w:rsid w:val="00ED1A2E"/>
    <w:rsid w:val="00ED1D03"/>
    <w:rsid w:val="00ED3104"/>
    <w:rsid w:val="00ED37A0"/>
    <w:rsid w:val="00ED38B0"/>
    <w:rsid w:val="00ED39A7"/>
    <w:rsid w:val="00ED57DF"/>
    <w:rsid w:val="00ED6BC3"/>
    <w:rsid w:val="00ED6C46"/>
    <w:rsid w:val="00ED709D"/>
    <w:rsid w:val="00EE1C7A"/>
    <w:rsid w:val="00EE2638"/>
    <w:rsid w:val="00EE2C33"/>
    <w:rsid w:val="00EE2E1A"/>
    <w:rsid w:val="00EE3442"/>
    <w:rsid w:val="00EE3E2C"/>
    <w:rsid w:val="00EE3F1B"/>
    <w:rsid w:val="00EE4323"/>
    <w:rsid w:val="00EE4A6E"/>
    <w:rsid w:val="00EE4BF8"/>
    <w:rsid w:val="00EE4D0C"/>
    <w:rsid w:val="00EE5673"/>
    <w:rsid w:val="00EE5DE5"/>
    <w:rsid w:val="00EE6042"/>
    <w:rsid w:val="00EE60E7"/>
    <w:rsid w:val="00EE667C"/>
    <w:rsid w:val="00EE6C34"/>
    <w:rsid w:val="00EE6C66"/>
    <w:rsid w:val="00EE7D1F"/>
    <w:rsid w:val="00EE7EFE"/>
    <w:rsid w:val="00EF0104"/>
    <w:rsid w:val="00EF02A4"/>
    <w:rsid w:val="00EF0FC6"/>
    <w:rsid w:val="00EF10E7"/>
    <w:rsid w:val="00EF11BA"/>
    <w:rsid w:val="00EF24E5"/>
    <w:rsid w:val="00EF27B3"/>
    <w:rsid w:val="00EF2C18"/>
    <w:rsid w:val="00EF3284"/>
    <w:rsid w:val="00EF33DD"/>
    <w:rsid w:val="00EF39D0"/>
    <w:rsid w:val="00EF3B2D"/>
    <w:rsid w:val="00EF43DC"/>
    <w:rsid w:val="00EF478D"/>
    <w:rsid w:val="00EF47F9"/>
    <w:rsid w:val="00EF5B95"/>
    <w:rsid w:val="00EF5F5B"/>
    <w:rsid w:val="00EF66F2"/>
    <w:rsid w:val="00EF6BB4"/>
    <w:rsid w:val="00EF6CBE"/>
    <w:rsid w:val="00EF7C74"/>
    <w:rsid w:val="00EF7E06"/>
    <w:rsid w:val="00F002F3"/>
    <w:rsid w:val="00F00352"/>
    <w:rsid w:val="00F003B8"/>
    <w:rsid w:val="00F00958"/>
    <w:rsid w:val="00F01FB8"/>
    <w:rsid w:val="00F027BC"/>
    <w:rsid w:val="00F028D1"/>
    <w:rsid w:val="00F0293B"/>
    <w:rsid w:val="00F032DE"/>
    <w:rsid w:val="00F0355E"/>
    <w:rsid w:val="00F0356C"/>
    <w:rsid w:val="00F0375E"/>
    <w:rsid w:val="00F03D0B"/>
    <w:rsid w:val="00F03E31"/>
    <w:rsid w:val="00F04B2E"/>
    <w:rsid w:val="00F04E39"/>
    <w:rsid w:val="00F062A7"/>
    <w:rsid w:val="00F066D9"/>
    <w:rsid w:val="00F068FA"/>
    <w:rsid w:val="00F06A62"/>
    <w:rsid w:val="00F06DEE"/>
    <w:rsid w:val="00F07203"/>
    <w:rsid w:val="00F077FB"/>
    <w:rsid w:val="00F1032C"/>
    <w:rsid w:val="00F10E67"/>
    <w:rsid w:val="00F11697"/>
    <w:rsid w:val="00F11780"/>
    <w:rsid w:val="00F11A56"/>
    <w:rsid w:val="00F120A2"/>
    <w:rsid w:val="00F12BEC"/>
    <w:rsid w:val="00F13D1D"/>
    <w:rsid w:val="00F1420E"/>
    <w:rsid w:val="00F142FD"/>
    <w:rsid w:val="00F1496D"/>
    <w:rsid w:val="00F15472"/>
    <w:rsid w:val="00F155C0"/>
    <w:rsid w:val="00F15FD9"/>
    <w:rsid w:val="00F16253"/>
    <w:rsid w:val="00F165D0"/>
    <w:rsid w:val="00F168E6"/>
    <w:rsid w:val="00F17C16"/>
    <w:rsid w:val="00F17DBB"/>
    <w:rsid w:val="00F17EF9"/>
    <w:rsid w:val="00F203C4"/>
    <w:rsid w:val="00F207AF"/>
    <w:rsid w:val="00F20AD0"/>
    <w:rsid w:val="00F21480"/>
    <w:rsid w:val="00F21C00"/>
    <w:rsid w:val="00F226EB"/>
    <w:rsid w:val="00F23793"/>
    <w:rsid w:val="00F24B7E"/>
    <w:rsid w:val="00F24D9B"/>
    <w:rsid w:val="00F2527A"/>
    <w:rsid w:val="00F25599"/>
    <w:rsid w:val="00F25BAB"/>
    <w:rsid w:val="00F25BF6"/>
    <w:rsid w:val="00F26151"/>
    <w:rsid w:val="00F2634D"/>
    <w:rsid w:val="00F27388"/>
    <w:rsid w:val="00F27513"/>
    <w:rsid w:val="00F27A13"/>
    <w:rsid w:val="00F3006F"/>
    <w:rsid w:val="00F30B2A"/>
    <w:rsid w:val="00F30ECC"/>
    <w:rsid w:val="00F31273"/>
    <w:rsid w:val="00F312B4"/>
    <w:rsid w:val="00F322E2"/>
    <w:rsid w:val="00F324CF"/>
    <w:rsid w:val="00F3254F"/>
    <w:rsid w:val="00F32948"/>
    <w:rsid w:val="00F33F98"/>
    <w:rsid w:val="00F33FA7"/>
    <w:rsid w:val="00F33FCF"/>
    <w:rsid w:val="00F33FE6"/>
    <w:rsid w:val="00F341DA"/>
    <w:rsid w:val="00F3481E"/>
    <w:rsid w:val="00F34EA1"/>
    <w:rsid w:val="00F3599C"/>
    <w:rsid w:val="00F35BB4"/>
    <w:rsid w:val="00F35C51"/>
    <w:rsid w:val="00F35C79"/>
    <w:rsid w:val="00F36270"/>
    <w:rsid w:val="00F371E6"/>
    <w:rsid w:val="00F40BB0"/>
    <w:rsid w:val="00F40E13"/>
    <w:rsid w:val="00F415FC"/>
    <w:rsid w:val="00F427BC"/>
    <w:rsid w:val="00F439AD"/>
    <w:rsid w:val="00F43AFB"/>
    <w:rsid w:val="00F43D67"/>
    <w:rsid w:val="00F441E8"/>
    <w:rsid w:val="00F44547"/>
    <w:rsid w:val="00F44595"/>
    <w:rsid w:val="00F44D37"/>
    <w:rsid w:val="00F45331"/>
    <w:rsid w:val="00F45942"/>
    <w:rsid w:val="00F45B23"/>
    <w:rsid w:val="00F45FBD"/>
    <w:rsid w:val="00F47014"/>
    <w:rsid w:val="00F47254"/>
    <w:rsid w:val="00F47772"/>
    <w:rsid w:val="00F477FB"/>
    <w:rsid w:val="00F478C5"/>
    <w:rsid w:val="00F479D8"/>
    <w:rsid w:val="00F508C8"/>
    <w:rsid w:val="00F50C77"/>
    <w:rsid w:val="00F51387"/>
    <w:rsid w:val="00F5171C"/>
    <w:rsid w:val="00F51F50"/>
    <w:rsid w:val="00F52251"/>
    <w:rsid w:val="00F52594"/>
    <w:rsid w:val="00F527E2"/>
    <w:rsid w:val="00F52BCA"/>
    <w:rsid w:val="00F52BF3"/>
    <w:rsid w:val="00F53F0E"/>
    <w:rsid w:val="00F544B8"/>
    <w:rsid w:val="00F54863"/>
    <w:rsid w:val="00F54B19"/>
    <w:rsid w:val="00F55043"/>
    <w:rsid w:val="00F55CB4"/>
    <w:rsid w:val="00F56AE7"/>
    <w:rsid w:val="00F56B4D"/>
    <w:rsid w:val="00F571BA"/>
    <w:rsid w:val="00F57A88"/>
    <w:rsid w:val="00F57B0D"/>
    <w:rsid w:val="00F602BC"/>
    <w:rsid w:val="00F60AC9"/>
    <w:rsid w:val="00F60FAE"/>
    <w:rsid w:val="00F6100E"/>
    <w:rsid w:val="00F61223"/>
    <w:rsid w:val="00F61364"/>
    <w:rsid w:val="00F61D51"/>
    <w:rsid w:val="00F62246"/>
    <w:rsid w:val="00F62BBB"/>
    <w:rsid w:val="00F63047"/>
    <w:rsid w:val="00F64263"/>
    <w:rsid w:val="00F64755"/>
    <w:rsid w:val="00F64D71"/>
    <w:rsid w:val="00F64E42"/>
    <w:rsid w:val="00F658FA"/>
    <w:rsid w:val="00F665C4"/>
    <w:rsid w:val="00F66A42"/>
    <w:rsid w:val="00F66B5A"/>
    <w:rsid w:val="00F679D2"/>
    <w:rsid w:val="00F67C24"/>
    <w:rsid w:val="00F70016"/>
    <w:rsid w:val="00F708D4"/>
    <w:rsid w:val="00F70B77"/>
    <w:rsid w:val="00F70F6F"/>
    <w:rsid w:val="00F711BD"/>
    <w:rsid w:val="00F71374"/>
    <w:rsid w:val="00F7173C"/>
    <w:rsid w:val="00F71DFB"/>
    <w:rsid w:val="00F7221E"/>
    <w:rsid w:val="00F72F25"/>
    <w:rsid w:val="00F73045"/>
    <w:rsid w:val="00F731AE"/>
    <w:rsid w:val="00F73485"/>
    <w:rsid w:val="00F737C9"/>
    <w:rsid w:val="00F73C33"/>
    <w:rsid w:val="00F74615"/>
    <w:rsid w:val="00F74701"/>
    <w:rsid w:val="00F747AD"/>
    <w:rsid w:val="00F75089"/>
    <w:rsid w:val="00F759B1"/>
    <w:rsid w:val="00F75E48"/>
    <w:rsid w:val="00F76141"/>
    <w:rsid w:val="00F764EE"/>
    <w:rsid w:val="00F766EA"/>
    <w:rsid w:val="00F76879"/>
    <w:rsid w:val="00F770D3"/>
    <w:rsid w:val="00F80629"/>
    <w:rsid w:val="00F80DA4"/>
    <w:rsid w:val="00F815C6"/>
    <w:rsid w:val="00F818D8"/>
    <w:rsid w:val="00F81E5B"/>
    <w:rsid w:val="00F82317"/>
    <w:rsid w:val="00F82F46"/>
    <w:rsid w:val="00F838A0"/>
    <w:rsid w:val="00F8414B"/>
    <w:rsid w:val="00F85684"/>
    <w:rsid w:val="00F85D8E"/>
    <w:rsid w:val="00F86EBC"/>
    <w:rsid w:val="00F871DB"/>
    <w:rsid w:val="00F904B6"/>
    <w:rsid w:val="00F90758"/>
    <w:rsid w:val="00F907B1"/>
    <w:rsid w:val="00F90940"/>
    <w:rsid w:val="00F9096E"/>
    <w:rsid w:val="00F90C07"/>
    <w:rsid w:val="00F91412"/>
    <w:rsid w:val="00F917E5"/>
    <w:rsid w:val="00F918E4"/>
    <w:rsid w:val="00F91AFB"/>
    <w:rsid w:val="00F91C34"/>
    <w:rsid w:val="00F91C3D"/>
    <w:rsid w:val="00F92312"/>
    <w:rsid w:val="00F9253D"/>
    <w:rsid w:val="00F926E9"/>
    <w:rsid w:val="00F929DB"/>
    <w:rsid w:val="00F92FA1"/>
    <w:rsid w:val="00F93275"/>
    <w:rsid w:val="00F9341A"/>
    <w:rsid w:val="00F936F6"/>
    <w:rsid w:val="00F93F62"/>
    <w:rsid w:val="00F94B27"/>
    <w:rsid w:val="00F950EA"/>
    <w:rsid w:val="00F953F3"/>
    <w:rsid w:val="00F95635"/>
    <w:rsid w:val="00F95A4B"/>
    <w:rsid w:val="00F95D8D"/>
    <w:rsid w:val="00F96A53"/>
    <w:rsid w:val="00F96B7D"/>
    <w:rsid w:val="00F9743F"/>
    <w:rsid w:val="00FA08BB"/>
    <w:rsid w:val="00FA14E7"/>
    <w:rsid w:val="00FA156E"/>
    <w:rsid w:val="00FA22BF"/>
    <w:rsid w:val="00FA3043"/>
    <w:rsid w:val="00FA47CC"/>
    <w:rsid w:val="00FA4860"/>
    <w:rsid w:val="00FA4D4A"/>
    <w:rsid w:val="00FA5343"/>
    <w:rsid w:val="00FA5A59"/>
    <w:rsid w:val="00FA5B2D"/>
    <w:rsid w:val="00FA5E8F"/>
    <w:rsid w:val="00FA6227"/>
    <w:rsid w:val="00FA6503"/>
    <w:rsid w:val="00FA6625"/>
    <w:rsid w:val="00FA68B0"/>
    <w:rsid w:val="00FA706E"/>
    <w:rsid w:val="00FA74C7"/>
    <w:rsid w:val="00FB004B"/>
    <w:rsid w:val="00FB0398"/>
    <w:rsid w:val="00FB0626"/>
    <w:rsid w:val="00FB11D7"/>
    <w:rsid w:val="00FB1784"/>
    <w:rsid w:val="00FB1FBC"/>
    <w:rsid w:val="00FB233C"/>
    <w:rsid w:val="00FB23E4"/>
    <w:rsid w:val="00FB2D59"/>
    <w:rsid w:val="00FB2E6F"/>
    <w:rsid w:val="00FB451B"/>
    <w:rsid w:val="00FB49BB"/>
    <w:rsid w:val="00FB52BA"/>
    <w:rsid w:val="00FB5693"/>
    <w:rsid w:val="00FB57EA"/>
    <w:rsid w:val="00FB59D4"/>
    <w:rsid w:val="00FB5E6E"/>
    <w:rsid w:val="00FB6919"/>
    <w:rsid w:val="00FB6E9C"/>
    <w:rsid w:val="00FB7116"/>
    <w:rsid w:val="00FC0166"/>
    <w:rsid w:val="00FC09B7"/>
    <w:rsid w:val="00FC1961"/>
    <w:rsid w:val="00FC1B6F"/>
    <w:rsid w:val="00FC1E7B"/>
    <w:rsid w:val="00FC2CA9"/>
    <w:rsid w:val="00FC2DB0"/>
    <w:rsid w:val="00FC3460"/>
    <w:rsid w:val="00FC3D37"/>
    <w:rsid w:val="00FC4DFA"/>
    <w:rsid w:val="00FC6C74"/>
    <w:rsid w:val="00FC7035"/>
    <w:rsid w:val="00FC71D6"/>
    <w:rsid w:val="00FC7B13"/>
    <w:rsid w:val="00FC7E35"/>
    <w:rsid w:val="00FD0606"/>
    <w:rsid w:val="00FD0D16"/>
    <w:rsid w:val="00FD114E"/>
    <w:rsid w:val="00FD1891"/>
    <w:rsid w:val="00FD1F19"/>
    <w:rsid w:val="00FD2981"/>
    <w:rsid w:val="00FD2C67"/>
    <w:rsid w:val="00FD4595"/>
    <w:rsid w:val="00FD577F"/>
    <w:rsid w:val="00FD60DF"/>
    <w:rsid w:val="00FD61AD"/>
    <w:rsid w:val="00FD651F"/>
    <w:rsid w:val="00FD6BB5"/>
    <w:rsid w:val="00FD7729"/>
    <w:rsid w:val="00FE108C"/>
    <w:rsid w:val="00FE1684"/>
    <w:rsid w:val="00FE1D08"/>
    <w:rsid w:val="00FE2A3D"/>
    <w:rsid w:val="00FE474C"/>
    <w:rsid w:val="00FE48A3"/>
    <w:rsid w:val="00FE5105"/>
    <w:rsid w:val="00FE57DF"/>
    <w:rsid w:val="00FE5C63"/>
    <w:rsid w:val="00FE61D0"/>
    <w:rsid w:val="00FE6413"/>
    <w:rsid w:val="00FE64FF"/>
    <w:rsid w:val="00FE6502"/>
    <w:rsid w:val="00FE6A0D"/>
    <w:rsid w:val="00FE7282"/>
    <w:rsid w:val="00FE7290"/>
    <w:rsid w:val="00FE7546"/>
    <w:rsid w:val="00FE76B2"/>
    <w:rsid w:val="00FE79CB"/>
    <w:rsid w:val="00FF0C44"/>
    <w:rsid w:val="00FF0D6E"/>
    <w:rsid w:val="00FF0DEE"/>
    <w:rsid w:val="00FF2E73"/>
    <w:rsid w:val="00FF2EEE"/>
    <w:rsid w:val="00FF3602"/>
    <w:rsid w:val="00FF3B33"/>
    <w:rsid w:val="00FF403A"/>
    <w:rsid w:val="00FF41D6"/>
    <w:rsid w:val="00FF4346"/>
    <w:rsid w:val="00FF467D"/>
    <w:rsid w:val="00FF46C6"/>
    <w:rsid w:val="00FF4822"/>
    <w:rsid w:val="00FF4952"/>
    <w:rsid w:val="00FF499D"/>
    <w:rsid w:val="00FF4EA0"/>
    <w:rsid w:val="00FF52CA"/>
    <w:rsid w:val="00FF52F8"/>
    <w:rsid w:val="00FF53D7"/>
    <w:rsid w:val="00FF5421"/>
    <w:rsid w:val="00FF595F"/>
    <w:rsid w:val="00FF5ABE"/>
    <w:rsid w:val="00FF66B6"/>
    <w:rsid w:val="00FF6A81"/>
    <w:rsid w:val="00FF7194"/>
    <w:rsid w:val="00FF7D83"/>
    <w:rsid w:val="00FF7D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B83815"/>
    <w:rPr>
      <w:rFonts w:ascii="Univers" w:hAnsi="Univers"/>
      <w:sz w:val="28"/>
    </w:rPr>
  </w:style>
  <w:style w:type="paragraph" w:styleId="Ttulo">
    <w:name w:val="Title"/>
    <w:basedOn w:val="Normal"/>
    <w:link w:val="TtuloCar"/>
    <w:qFormat/>
    <w:rsid w:val="00B83815"/>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B83815"/>
    <w:rPr>
      <w:b/>
      <w:bCs/>
      <w:sz w:val="28"/>
      <w:lang w:val="es-MX"/>
    </w:rPr>
  </w:style>
  <w:style w:type="character" w:customStyle="1" w:styleId="PiedepginaCar">
    <w:name w:val="Pie de página Car"/>
    <w:basedOn w:val="Fuentedeprrafopredeter"/>
    <w:link w:val="Piedepgina"/>
    <w:uiPriority w:val="99"/>
    <w:rsid w:val="00B83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B83815"/>
    <w:rPr>
      <w:rFonts w:ascii="Univers" w:hAnsi="Univers"/>
      <w:sz w:val="28"/>
    </w:rPr>
  </w:style>
  <w:style w:type="paragraph" w:styleId="Ttulo">
    <w:name w:val="Title"/>
    <w:basedOn w:val="Normal"/>
    <w:link w:val="TtuloCar"/>
    <w:qFormat/>
    <w:rsid w:val="00B83815"/>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B83815"/>
    <w:rPr>
      <w:b/>
      <w:bCs/>
      <w:sz w:val="28"/>
      <w:lang w:val="es-MX"/>
    </w:rPr>
  </w:style>
  <w:style w:type="character" w:customStyle="1" w:styleId="PiedepginaCar">
    <w:name w:val="Pie de página Car"/>
    <w:basedOn w:val="Fuentedeprrafopredeter"/>
    <w:link w:val="Piedepgina"/>
    <w:uiPriority w:val="99"/>
    <w:rsid w:val="00B83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60">
      <w:bodyDiv w:val="1"/>
      <w:marLeft w:val="0"/>
      <w:marRight w:val="0"/>
      <w:marTop w:val="0"/>
      <w:marBottom w:val="0"/>
      <w:divBdr>
        <w:top w:val="none" w:sz="0" w:space="0" w:color="auto"/>
        <w:left w:val="none" w:sz="0" w:space="0" w:color="auto"/>
        <w:bottom w:val="none" w:sz="0" w:space="0" w:color="auto"/>
        <w:right w:val="none" w:sz="0" w:space="0" w:color="auto"/>
      </w:divBdr>
    </w:div>
    <w:div w:id="38480245">
      <w:bodyDiv w:val="1"/>
      <w:marLeft w:val="0"/>
      <w:marRight w:val="0"/>
      <w:marTop w:val="0"/>
      <w:marBottom w:val="0"/>
      <w:divBdr>
        <w:top w:val="none" w:sz="0" w:space="0" w:color="auto"/>
        <w:left w:val="none" w:sz="0" w:space="0" w:color="auto"/>
        <w:bottom w:val="none" w:sz="0" w:space="0" w:color="auto"/>
        <w:right w:val="none" w:sz="0" w:space="0" w:color="auto"/>
      </w:divBdr>
    </w:div>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89666473">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206450910">
      <w:bodyDiv w:val="1"/>
      <w:marLeft w:val="0"/>
      <w:marRight w:val="0"/>
      <w:marTop w:val="0"/>
      <w:marBottom w:val="0"/>
      <w:divBdr>
        <w:top w:val="none" w:sz="0" w:space="0" w:color="auto"/>
        <w:left w:val="none" w:sz="0" w:space="0" w:color="auto"/>
        <w:bottom w:val="none" w:sz="0" w:space="0" w:color="auto"/>
        <w:right w:val="none" w:sz="0" w:space="0" w:color="auto"/>
      </w:divBdr>
    </w:div>
    <w:div w:id="214581579">
      <w:bodyDiv w:val="1"/>
      <w:marLeft w:val="0"/>
      <w:marRight w:val="0"/>
      <w:marTop w:val="0"/>
      <w:marBottom w:val="0"/>
      <w:divBdr>
        <w:top w:val="none" w:sz="0" w:space="0" w:color="auto"/>
        <w:left w:val="none" w:sz="0" w:space="0" w:color="auto"/>
        <w:bottom w:val="none" w:sz="0" w:space="0" w:color="auto"/>
        <w:right w:val="none" w:sz="0" w:space="0" w:color="auto"/>
      </w:divBdr>
    </w:div>
    <w:div w:id="250703274">
      <w:bodyDiv w:val="1"/>
      <w:marLeft w:val="0"/>
      <w:marRight w:val="0"/>
      <w:marTop w:val="0"/>
      <w:marBottom w:val="0"/>
      <w:divBdr>
        <w:top w:val="none" w:sz="0" w:space="0" w:color="auto"/>
        <w:left w:val="none" w:sz="0" w:space="0" w:color="auto"/>
        <w:bottom w:val="none" w:sz="0" w:space="0" w:color="auto"/>
        <w:right w:val="none" w:sz="0" w:space="0" w:color="auto"/>
      </w:divBdr>
    </w:div>
    <w:div w:id="343671989">
      <w:bodyDiv w:val="1"/>
      <w:marLeft w:val="0"/>
      <w:marRight w:val="0"/>
      <w:marTop w:val="0"/>
      <w:marBottom w:val="0"/>
      <w:divBdr>
        <w:top w:val="none" w:sz="0" w:space="0" w:color="auto"/>
        <w:left w:val="none" w:sz="0" w:space="0" w:color="auto"/>
        <w:bottom w:val="none" w:sz="0" w:space="0" w:color="auto"/>
        <w:right w:val="none" w:sz="0" w:space="0" w:color="auto"/>
      </w:divBdr>
    </w:div>
    <w:div w:id="347677933">
      <w:bodyDiv w:val="1"/>
      <w:marLeft w:val="0"/>
      <w:marRight w:val="0"/>
      <w:marTop w:val="0"/>
      <w:marBottom w:val="0"/>
      <w:divBdr>
        <w:top w:val="none" w:sz="0" w:space="0" w:color="auto"/>
        <w:left w:val="none" w:sz="0" w:space="0" w:color="auto"/>
        <w:bottom w:val="none" w:sz="0" w:space="0" w:color="auto"/>
        <w:right w:val="none" w:sz="0" w:space="0" w:color="auto"/>
      </w:divBdr>
    </w:div>
    <w:div w:id="366419669">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435096602">
      <w:bodyDiv w:val="1"/>
      <w:marLeft w:val="0"/>
      <w:marRight w:val="0"/>
      <w:marTop w:val="0"/>
      <w:marBottom w:val="0"/>
      <w:divBdr>
        <w:top w:val="none" w:sz="0" w:space="0" w:color="auto"/>
        <w:left w:val="none" w:sz="0" w:space="0" w:color="auto"/>
        <w:bottom w:val="none" w:sz="0" w:space="0" w:color="auto"/>
        <w:right w:val="none" w:sz="0" w:space="0" w:color="auto"/>
      </w:divBdr>
    </w:div>
    <w:div w:id="655301181">
      <w:bodyDiv w:val="1"/>
      <w:marLeft w:val="0"/>
      <w:marRight w:val="0"/>
      <w:marTop w:val="0"/>
      <w:marBottom w:val="0"/>
      <w:divBdr>
        <w:top w:val="none" w:sz="0" w:space="0" w:color="auto"/>
        <w:left w:val="none" w:sz="0" w:space="0" w:color="auto"/>
        <w:bottom w:val="none" w:sz="0" w:space="0" w:color="auto"/>
        <w:right w:val="none" w:sz="0" w:space="0" w:color="auto"/>
      </w:divBdr>
    </w:div>
    <w:div w:id="656223774">
      <w:bodyDiv w:val="1"/>
      <w:marLeft w:val="0"/>
      <w:marRight w:val="0"/>
      <w:marTop w:val="0"/>
      <w:marBottom w:val="0"/>
      <w:divBdr>
        <w:top w:val="none" w:sz="0" w:space="0" w:color="auto"/>
        <w:left w:val="none" w:sz="0" w:space="0" w:color="auto"/>
        <w:bottom w:val="none" w:sz="0" w:space="0" w:color="auto"/>
        <w:right w:val="none" w:sz="0" w:space="0" w:color="auto"/>
      </w:divBdr>
    </w:div>
    <w:div w:id="725223756">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1046102819">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457094582">
      <w:bodyDiv w:val="1"/>
      <w:marLeft w:val="0"/>
      <w:marRight w:val="0"/>
      <w:marTop w:val="0"/>
      <w:marBottom w:val="0"/>
      <w:divBdr>
        <w:top w:val="none" w:sz="0" w:space="0" w:color="auto"/>
        <w:left w:val="none" w:sz="0" w:space="0" w:color="auto"/>
        <w:bottom w:val="none" w:sz="0" w:space="0" w:color="auto"/>
        <w:right w:val="none" w:sz="0" w:space="0" w:color="auto"/>
      </w:divBdr>
    </w:div>
    <w:div w:id="1458136519">
      <w:bodyDiv w:val="1"/>
      <w:marLeft w:val="0"/>
      <w:marRight w:val="0"/>
      <w:marTop w:val="0"/>
      <w:marBottom w:val="0"/>
      <w:divBdr>
        <w:top w:val="none" w:sz="0" w:space="0" w:color="auto"/>
        <w:left w:val="none" w:sz="0" w:space="0" w:color="auto"/>
        <w:bottom w:val="none" w:sz="0" w:space="0" w:color="auto"/>
        <w:right w:val="none" w:sz="0" w:space="0" w:color="auto"/>
      </w:divBdr>
    </w:div>
    <w:div w:id="1493718253">
      <w:bodyDiv w:val="1"/>
      <w:marLeft w:val="0"/>
      <w:marRight w:val="0"/>
      <w:marTop w:val="0"/>
      <w:marBottom w:val="0"/>
      <w:divBdr>
        <w:top w:val="none" w:sz="0" w:space="0" w:color="auto"/>
        <w:left w:val="none" w:sz="0" w:space="0" w:color="auto"/>
        <w:bottom w:val="none" w:sz="0" w:space="0" w:color="auto"/>
        <w:right w:val="none" w:sz="0" w:space="0" w:color="auto"/>
      </w:divBdr>
    </w:div>
    <w:div w:id="1535845405">
      <w:bodyDiv w:val="1"/>
      <w:marLeft w:val="0"/>
      <w:marRight w:val="0"/>
      <w:marTop w:val="0"/>
      <w:marBottom w:val="0"/>
      <w:divBdr>
        <w:top w:val="none" w:sz="0" w:space="0" w:color="auto"/>
        <w:left w:val="none" w:sz="0" w:space="0" w:color="auto"/>
        <w:bottom w:val="none" w:sz="0" w:space="0" w:color="auto"/>
        <w:right w:val="none" w:sz="0" w:space="0" w:color="auto"/>
      </w:divBdr>
    </w:div>
    <w:div w:id="1618752770">
      <w:bodyDiv w:val="1"/>
      <w:marLeft w:val="0"/>
      <w:marRight w:val="0"/>
      <w:marTop w:val="0"/>
      <w:marBottom w:val="0"/>
      <w:divBdr>
        <w:top w:val="none" w:sz="0" w:space="0" w:color="auto"/>
        <w:left w:val="none" w:sz="0" w:space="0" w:color="auto"/>
        <w:bottom w:val="none" w:sz="0" w:space="0" w:color="auto"/>
        <w:right w:val="none" w:sz="0" w:space="0" w:color="auto"/>
      </w:divBdr>
    </w:div>
    <w:div w:id="1665475867">
      <w:bodyDiv w:val="1"/>
      <w:marLeft w:val="0"/>
      <w:marRight w:val="0"/>
      <w:marTop w:val="0"/>
      <w:marBottom w:val="0"/>
      <w:divBdr>
        <w:top w:val="none" w:sz="0" w:space="0" w:color="auto"/>
        <w:left w:val="none" w:sz="0" w:space="0" w:color="auto"/>
        <w:bottom w:val="none" w:sz="0" w:space="0" w:color="auto"/>
        <w:right w:val="none" w:sz="0" w:space="0" w:color="auto"/>
      </w:divBdr>
    </w:div>
    <w:div w:id="1666279203">
      <w:bodyDiv w:val="1"/>
      <w:marLeft w:val="0"/>
      <w:marRight w:val="0"/>
      <w:marTop w:val="0"/>
      <w:marBottom w:val="0"/>
      <w:divBdr>
        <w:top w:val="none" w:sz="0" w:space="0" w:color="auto"/>
        <w:left w:val="none" w:sz="0" w:space="0" w:color="auto"/>
        <w:bottom w:val="none" w:sz="0" w:space="0" w:color="auto"/>
        <w:right w:val="none" w:sz="0" w:space="0" w:color="auto"/>
      </w:divBdr>
    </w:div>
    <w:div w:id="1732919515">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776435612">
      <w:bodyDiv w:val="1"/>
      <w:marLeft w:val="0"/>
      <w:marRight w:val="0"/>
      <w:marTop w:val="0"/>
      <w:marBottom w:val="0"/>
      <w:divBdr>
        <w:top w:val="none" w:sz="0" w:space="0" w:color="auto"/>
        <w:left w:val="none" w:sz="0" w:space="0" w:color="auto"/>
        <w:bottom w:val="none" w:sz="0" w:space="0" w:color="auto"/>
        <w:right w:val="none" w:sz="0" w:space="0" w:color="auto"/>
      </w:divBdr>
    </w:div>
    <w:div w:id="1906183921">
      <w:bodyDiv w:val="1"/>
      <w:marLeft w:val="0"/>
      <w:marRight w:val="0"/>
      <w:marTop w:val="0"/>
      <w:marBottom w:val="0"/>
      <w:divBdr>
        <w:top w:val="none" w:sz="0" w:space="0" w:color="auto"/>
        <w:left w:val="none" w:sz="0" w:space="0" w:color="auto"/>
        <w:bottom w:val="none" w:sz="0" w:space="0" w:color="auto"/>
        <w:right w:val="none" w:sz="0" w:space="0" w:color="auto"/>
      </w:divBdr>
    </w:div>
    <w:div w:id="1951207181">
      <w:bodyDiv w:val="1"/>
      <w:marLeft w:val="0"/>
      <w:marRight w:val="0"/>
      <w:marTop w:val="0"/>
      <w:marBottom w:val="0"/>
      <w:divBdr>
        <w:top w:val="none" w:sz="0" w:space="0" w:color="auto"/>
        <w:left w:val="none" w:sz="0" w:space="0" w:color="auto"/>
        <w:bottom w:val="none" w:sz="0" w:space="0" w:color="auto"/>
        <w:right w:val="none" w:sz="0" w:space="0" w:color="auto"/>
      </w:divBdr>
    </w:div>
    <w:div w:id="1960330488">
      <w:bodyDiv w:val="1"/>
      <w:marLeft w:val="0"/>
      <w:marRight w:val="0"/>
      <w:marTop w:val="0"/>
      <w:marBottom w:val="0"/>
      <w:divBdr>
        <w:top w:val="none" w:sz="0" w:space="0" w:color="auto"/>
        <w:left w:val="none" w:sz="0" w:space="0" w:color="auto"/>
        <w:bottom w:val="none" w:sz="0" w:space="0" w:color="auto"/>
        <w:right w:val="none" w:sz="0" w:space="0" w:color="auto"/>
      </w:divBdr>
    </w:div>
    <w:div w:id="1966424340">
      <w:bodyDiv w:val="1"/>
      <w:marLeft w:val="0"/>
      <w:marRight w:val="0"/>
      <w:marTop w:val="0"/>
      <w:marBottom w:val="0"/>
      <w:divBdr>
        <w:top w:val="none" w:sz="0" w:space="0" w:color="auto"/>
        <w:left w:val="none" w:sz="0" w:space="0" w:color="auto"/>
        <w:bottom w:val="none" w:sz="0" w:space="0" w:color="auto"/>
        <w:right w:val="none" w:sz="0" w:space="0" w:color="auto"/>
      </w:divBdr>
    </w:div>
    <w:div w:id="1996911751">
      <w:bodyDiv w:val="1"/>
      <w:marLeft w:val="0"/>
      <w:marRight w:val="0"/>
      <w:marTop w:val="0"/>
      <w:marBottom w:val="0"/>
      <w:divBdr>
        <w:top w:val="none" w:sz="0" w:space="0" w:color="auto"/>
        <w:left w:val="none" w:sz="0" w:space="0" w:color="auto"/>
        <w:bottom w:val="none" w:sz="0" w:space="0" w:color="auto"/>
        <w:right w:val="none" w:sz="0" w:space="0" w:color="auto"/>
      </w:divBdr>
    </w:div>
    <w:div w:id="20694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file:///C:\Users\Jrivera\Desktop\ARCHIVOS%20EN%20ESCRITORIO%2018%20SEP%202021\RESPALDO%20JLRH%2024%20ENE%202018\Equipo%20anterior\Mis%20documentos\CUENTA%20P&#218;BLICA%20ANUAL%202021\INDICADORES%20DE%20POSTURA%20FISCAL%202021.xls!BALANCES!F28C4:F35C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oleObject" Target="file:///C:\Users\Jrivera\Desktop\ARCHIVOS%20EN%20ESCRITORIO%2018%20SEP%202021\RESPALDO%20JLRH%2024%20ENE%202018\Equipo%20anterior\Mis%20documentos\CUENTA%20P&#218;BLICA%20ANUAL%202021\PIB%20NAYARIT%20PARA%20CUENTA%20P&#218;BLICA%202021.xlsx!2019-2020!F3C1:F11C5" TargetMode="External"/><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file:///C:\Users\Jrivera\Desktop\ARCHIVOS%20EN%20ESCRITORIO%2018%20SEP%202021\RESPALDO%20JLRH%2024%20ENE%202018\Equipo%20anterior\Mis%20documentos\CUENTA%20P&#218;BLICA%20ANUAL%202021\INDICADORES%20DE%20POSTURA%20FISCAL%202021.xls!PF!F1C1:F32C5" TargetMode="External"/><Relationship Id="rId20" Type="http://schemas.openxmlformats.org/officeDocument/2006/relationships/oleObject" Target="file:///C:\Users\Jrivera\Desktop\ARCHIVOS%20EN%20ESCRITORIO%2018%20SEP%202021\RESPALDO%20JLRH%2024%20ENE%202018\Equipo%20anterior\Mis%20documentos\CUENTA%20P&#218;BLICA%20ANUAL%202021\INDICADORES%20DE%20POSTURA%20FISCAL%202021.xls!BALANCES!F20C1:F25C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oleObject" Target="file:///C:\Users\Jrivera\Desktop\ARCHIVOS%20EN%20ESCRITORIO%2018%20SEP%202021\RESPALDO%20JLRH%2024%20ENE%202018\Equipo%20anterior\Mis%20documentos\CUENTA%20P&#218;BLICA%20ANUAL%202021\DECISIONES%20DE%20POLITICA%20MONETARIA%202021%20(TASAS%20TIIE).xlsx!Hoja1!F1C1:F15C4" TargetMode="Externa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oleObject" Target="file:///C:\Users\Jrivera\Desktop\ARCHIVOS%20EN%20ESCRITORIO%2018%20SEP%202021\RESPALDO%20JLRH%2024%20ENE%202018\Equipo%20anterior\Mis%20documentos\CUENTA%20P&#218;BLICA%20ANUAL%202021\INDICADORES%20DE%20POSTURA%20FISCAL%202021.xls!BALANCES!F2C1:F16C3" TargetMode="External"/><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CBC05-6788-47CC-9720-1E33B514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28</Pages>
  <Words>7153</Words>
  <Characters>39344</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46405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63</cp:revision>
  <cp:lastPrinted>2022-05-19T02:56:00Z</cp:lastPrinted>
  <dcterms:created xsi:type="dcterms:W3CDTF">2019-05-10T01:21:00Z</dcterms:created>
  <dcterms:modified xsi:type="dcterms:W3CDTF">2022-05-19T02:58:00Z</dcterms:modified>
</cp:coreProperties>
</file>